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-384175</wp:posOffset>
            </wp:positionV>
            <wp:extent cx="675640" cy="723900"/>
            <wp:effectExtent l="19050" t="0" r="0" b="0"/>
            <wp:wrapSquare wrapText="bothSides"/>
            <wp:docPr id="3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709"/>
        <w:jc w:val="center"/>
        <w:rPr>
          <w:b/>
          <w:sz w:val="24"/>
          <w:szCs w:val="24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Контрольно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-</w:t>
      </w:r>
      <w:r>
        <w:rPr>
          <w:rFonts w:hint="default"/>
          <w:bCs/>
          <w:sz w:val="24"/>
          <w:szCs w:val="24"/>
          <w:lang w:val="ru-RU"/>
        </w:rPr>
        <w:t xml:space="preserve"> счётная</w:t>
      </w:r>
      <w:r>
        <w:rPr>
          <w:bCs/>
          <w:sz w:val="24"/>
          <w:szCs w:val="24"/>
        </w:rPr>
        <w:t xml:space="preserve"> комиссия муниципального образования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«Ленский муниципальный район»</w:t>
      </w:r>
    </w:p>
    <w:p>
      <w:pPr>
        <w:jc w:val="center"/>
        <w:rPr>
          <w:bCs/>
          <w:sz w:val="24"/>
          <w:szCs w:val="24"/>
        </w:rPr>
      </w:pP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ул. Бр.Покровских, д19, с.Яренск, Ленский р-н, Архангельская область, 165780</w:t>
      </w:r>
      <w:r>
        <w:rPr>
          <w:sz w:val="22"/>
          <w:szCs w:val="22"/>
          <w:u w:val="single"/>
        </w:rPr>
        <w:t>,</w:t>
      </w:r>
    </w:p>
    <w:p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>
        <w:rPr>
          <w:sz w:val="22"/>
          <w:szCs w:val="22"/>
          <w:lang w:val="en-US"/>
        </w:rPr>
        <w:t xml:space="preserve">.(818 59) 5-25-84, email </w:t>
      </w:r>
      <w:r>
        <w:fldChar w:fldCharType="begin"/>
      </w:r>
      <w:r>
        <w:instrText xml:space="preserve"> HYPERLINK "mailto:ksklensky@mail.ru" </w:instrText>
      </w:r>
      <w:r>
        <w:fldChar w:fldCharType="separate"/>
      </w:r>
      <w:r>
        <w:rPr>
          <w:rStyle w:val="10"/>
          <w:color w:val="auto"/>
          <w:sz w:val="22"/>
          <w:szCs w:val="22"/>
          <w:lang w:val="en-US"/>
        </w:rPr>
        <w:t>ksklensky@mail.ru</w:t>
      </w:r>
      <w:r>
        <w:rPr>
          <w:rStyle w:val="10"/>
          <w:color w:val="auto"/>
          <w:sz w:val="22"/>
          <w:szCs w:val="22"/>
          <w:lang w:val="en-US"/>
        </w:rPr>
        <w:fldChar w:fldCharType="end"/>
      </w:r>
    </w:p>
    <w:p>
      <w:pPr>
        <w:ind w:firstLine="709"/>
        <w:jc w:val="center"/>
        <w:rPr>
          <w:b/>
          <w:sz w:val="24"/>
          <w:szCs w:val="24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1616"/>
        <w:gridCol w:w="5084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00" w:type="pct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17 ноября 2023 года     </w:t>
            </w:r>
          </w:p>
        </w:tc>
        <w:tc>
          <w:tcPr>
            <w:tcW w:w="844" w:type="pct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2656" w:type="pct"/>
            <w:vMerge w:val="restart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 Совета депутатов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«Урдомское»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Кравец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МО «Урдомское»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Якимову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00" w:type="pc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 № </w:t>
            </w:r>
          </w:p>
        </w:tc>
        <w:tc>
          <w:tcPr>
            <w:tcW w:w="844" w:type="pc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265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44" w:type="pct"/>
            <w:gridSpan w:val="2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6" w:type="pct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</w:p>
    <w:p>
      <w:pPr>
        <w:ind w:firstLine="709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>
      <w:pPr>
        <w:pStyle w:val="44"/>
        <w:jc w:val="center"/>
        <w:rPr>
          <w:b/>
        </w:rPr>
      </w:pPr>
      <w:r>
        <w:rPr>
          <w:b/>
        </w:rPr>
        <w:t xml:space="preserve">по результатам  проведения экспертизы проекта решения </w:t>
      </w:r>
    </w:p>
    <w:p>
      <w:pPr>
        <w:pStyle w:val="44"/>
        <w:jc w:val="center"/>
        <w:rPr>
          <w:b/>
        </w:rPr>
      </w:pPr>
      <w:r>
        <w:rPr>
          <w:b/>
        </w:rPr>
        <w:t xml:space="preserve">«О бюджете  муниципального образования «Урдомское» на 2024 год»   </w:t>
      </w:r>
    </w:p>
    <w:p>
      <w:pPr>
        <w:jc w:val="center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ind w:firstLine="709"/>
        <w:jc w:val="both"/>
      </w:pPr>
      <w:r>
        <w:rPr>
          <w:sz w:val="24"/>
          <w:szCs w:val="24"/>
        </w:rPr>
        <w:t>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счётной</w:t>
      </w:r>
      <w:r>
        <w:rPr>
          <w:sz w:val="24"/>
          <w:szCs w:val="24"/>
        </w:rPr>
        <w:t xml:space="preserve"> комиссией муниципального образования «Ленский муниципальный район» в соответствии </w:t>
      </w:r>
      <w:r>
        <w:rPr>
          <w:bCs/>
          <w:sz w:val="24"/>
          <w:szCs w:val="24"/>
        </w:rPr>
        <w:t xml:space="preserve">с решением Собрания депутатов МО «Ленский муниципальный район» </w:t>
      </w:r>
      <w:r>
        <w:rPr>
          <w:sz w:val="24"/>
          <w:szCs w:val="24"/>
        </w:rPr>
        <w:t>от 13 сентября 2023 года № 47-н</w:t>
      </w:r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Об одобрении Соглашения по</w:t>
      </w:r>
      <w:r>
        <w:rPr>
          <w:color w:val="000000"/>
          <w:spacing w:val="-3"/>
          <w:sz w:val="24"/>
          <w:szCs w:val="24"/>
        </w:rPr>
        <w:t xml:space="preserve"> передаче Контрольно</w:t>
      </w:r>
      <w:r>
        <w:rPr>
          <w:rFonts w:hint="default"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color w:val="000000"/>
          <w:spacing w:val="-3"/>
          <w:sz w:val="24"/>
          <w:szCs w:val="24"/>
        </w:rPr>
        <w:t>-</w:t>
      </w:r>
      <w:r>
        <w:rPr>
          <w:rFonts w:hint="default"/>
          <w:color w:val="000000"/>
          <w:spacing w:val="-3"/>
          <w:sz w:val="24"/>
          <w:szCs w:val="24"/>
          <w:lang w:val="ru-RU"/>
        </w:rPr>
        <w:t xml:space="preserve"> счётной</w:t>
      </w:r>
      <w:r>
        <w:rPr>
          <w:color w:val="000000"/>
          <w:spacing w:val="-3"/>
          <w:sz w:val="24"/>
          <w:szCs w:val="24"/>
        </w:rPr>
        <w:t xml:space="preserve"> комиссии муниципального образования «Ленский  муниципальный район»  осуществления части полномочий по осуществлению внешнего </w:t>
      </w:r>
      <w:r>
        <w:rPr>
          <w:sz w:val="24"/>
          <w:szCs w:val="24"/>
        </w:rPr>
        <w:t>муниципального финансового  контроля в муниципальном образовании «Урдомское» на 2023 год»,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Решением Совета депутатов МО «Урдомское» от  02 мая 2023 года  № 15-Б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 передаче 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счётной</w:t>
      </w:r>
      <w:r>
        <w:rPr>
          <w:sz w:val="24"/>
          <w:szCs w:val="24"/>
        </w:rPr>
        <w:t xml:space="preserve"> комиссии МО «Ленский муниципальный район»</w:t>
      </w:r>
      <w:r>
        <w:rPr>
          <w:color w:val="000000"/>
          <w:spacing w:val="-3"/>
          <w:sz w:val="24"/>
          <w:szCs w:val="24"/>
        </w:rPr>
        <w:t xml:space="preserve"> осуществления части полномочий по осуществлению внешнего муниципального финансового контроля в городском поселении МО «</w:t>
      </w:r>
      <w:r>
        <w:rPr>
          <w:sz w:val="24"/>
          <w:szCs w:val="24"/>
        </w:rPr>
        <w:t>Урдомское</w:t>
      </w:r>
      <w:r>
        <w:rPr>
          <w:color w:val="000000"/>
          <w:spacing w:val="-3"/>
          <w:sz w:val="24"/>
          <w:szCs w:val="24"/>
        </w:rPr>
        <w:t>»,</w:t>
      </w:r>
      <w:r>
        <w:rPr>
          <w:bCs/>
          <w:sz w:val="24"/>
          <w:szCs w:val="24"/>
        </w:rPr>
        <w:t xml:space="preserve"> «Положением о </w:t>
      </w:r>
      <w:r>
        <w:rPr>
          <w:sz w:val="24"/>
          <w:szCs w:val="24"/>
        </w:rPr>
        <w:t xml:space="preserve"> 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счётной</w:t>
      </w:r>
      <w:r>
        <w:rPr>
          <w:sz w:val="24"/>
          <w:szCs w:val="24"/>
        </w:rPr>
        <w:t xml:space="preserve"> комиссии муниципального образования «Ленский муниципальный район», </w:t>
      </w:r>
      <w:r>
        <w:rPr>
          <w:sz w:val="24"/>
          <w:szCs w:val="24"/>
          <w:lang w:val="ru-RU"/>
        </w:rPr>
        <w:t>утверждённым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решением Собрания Депутатов МО «Ленский муниципальный район»</w:t>
      </w:r>
      <w:r>
        <w:rPr>
          <w:sz w:val="24"/>
          <w:szCs w:val="24"/>
        </w:rPr>
        <w:t xml:space="preserve">  от 04 марта 2022 года № 156-н, проведена экспертиза проекта решения о бюджете муниципального образования «Урдомское» на 2024 год, по результатам которой, подготовлено настоящее Заключение.    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подготовке заключения использованы данные, содержащиеся в официальных открытых источниках в сети Интернет, </w:t>
      </w:r>
      <w:r>
        <w:rPr>
          <w:sz w:val="24"/>
          <w:szCs w:val="24"/>
          <w:lang w:val="ru-RU"/>
        </w:rPr>
        <w:t>отчётность</w:t>
      </w:r>
      <w:r>
        <w:rPr>
          <w:sz w:val="24"/>
          <w:szCs w:val="24"/>
        </w:rPr>
        <w:t xml:space="preserve"> об исполнении   бюджета МО «Урдомское», иные сведения, документы предоставленные Советом депутатов и Администрацией муниципального образования «Урдомское» по запросам 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счётной</w:t>
      </w:r>
      <w:r>
        <w:rPr>
          <w:sz w:val="24"/>
          <w:szCs w:val="24"/>
        </w:rPr>
        <w:t xml:space="preserve"> комиссии МО «Ленский муниципальный район».</w:t>
      </w:r>
    </w:p>
    <w:p>
      <w:pPr>
        <w:ind w:firstLine="709"/>
        <w:jc w:val="center"/>
        <w:rPr>
          <w:b/>
          <w:sz w:val="24"/>
          <w:szCs w:val="24"/>
        </w:rPr>
      </w:pP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Проект решения Совета депутатов МО «Урдомское» «О бюджете муниципального образования «Урдомское» на 2024 год» (далее по тексту проект Решения) </w:t>
      </w:r>
      <w:r>
        <w:rPr>
          <w:sz w:val="24"/>
          <w:szCs w:val="24"/>
          <w:lang w:val="ru-RU"/>
        </w:rPr>
        <w:t>внесён</w:t>
      </w:r>
      <w:r>
        <w:rPr>
          <w:sz w:val="24"/>
          <w:szCs w:val="24"/>
        </w:rPr>
        <w:t xml:space="preserve"> на рассмотрение Совета депутатов поселения не позднее 15 ноября текущего финансового года, что не противоречит требованиям ст. 19 «Положения о бюджетном процессе в муниципальном образовании «Урдомское», </w:t>
      </w:r>
      <w:r>
        <w:rPr>
          <w:sz w:val="24"/>
          <w:szCs w:val="24"/>
          <w:lang w:val="ru-RU"/>
        </w:rPr>
        <w:t>утверждённое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решением Совета депутатов МО «Урдомское» № 32–А </w:t>
      </w:r>
      <w:r>
        <w:rPr>
          <w:sz w:val="24"/>
          <w:szCs w:val="24"/>
        </w:rPr>
        <w:t>от 25 августа 2016 года (далее «Положение о бюджетном процессе»).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Состав документов, представленных одновременно с проектом Решения, проект Решения с приложениями в целом соответствуют   статьям  184.1, 184.2 БК РФ и статьям 18,19 Положения о бюджетном процессе.   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применения кодов бюджетной классификации Российской Федерации при составлении Проекта бюджета в целом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соответствует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ст.18 Бюджетного кодекса Российской Федерации (далее БК РФ), Приказу Минфина РФ </w:t>
      </w:r>
      <w:r>
        <w:rPr>
          <w:color w:val="333333"/>
          <w:sz w:val="24"/>
          <w:szCs w:val="24"/>
        </w:rPr>
        <w:t>от 06.06.2019 № 85н</w:t>
      </w:r>
      <w:r>
        <w:rPr>
          <w:color w:val="333333"/>
          <w:sz w:val="19"/>
          <w:szCs w:val="19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>«О Порядке формирования и применения кодов бюджетной классификации РФ, их структуре и принципах назначения» (далее –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Приказ №85-н), от 29.11.2017 г. № 209н «Об утверждении Порядка применения классификации операций сектора государственного управления» (далее – Приказ № 209н)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 xml:space="preserve">             </w:t>
      </w:r>
      <w:r>
        <w:rPr>
          <w:rFonts w:eastAsia="TimesNewRomanPSMT"/>
          <w:sz w:val="24"/>
          <w:szCs w:val="24"/>
        </w:rPr>
        <w:t>Вместе с тем, в ходе проверки проекта Решения на соответствие нормам бюджетного законодательства установлены следующие несоответствия:</w:t>
      </w:r>
    </w:p>
    <w:p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1. В проекте Решения:</w:t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 не установлен предельный объем муниципальных заимствований на соответствующий финансовый год (ст. 106 БК РФ).</w:t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КСК обращает внимание на целесообразность включения статьи 16 в</w:t>
      </w:r>
      <w:r>
        <w:rPr>
          <w:bCs/>
          <w:color w:val="000000"/>
          <w:sz w:val="24"/>
          <w:szCs w:val="24"/>
        </w:rPr>
        <w:t xml:space="preserve"> проект Решения. В </w:t>
      </w:r>
      <w:r>
        <w:rPr>
          <w:rFonts w:eastAsia="Calibri"/>
          <w:sz w:val="24"/>
          <w:szCs w:val="24"/>
        </w:rPr>
        <w:t xml:space="preserve">статье 16 </w:t>
      </w:r>
      <w:r>
        <w:rPr>
          <w:bCs/>
          <w:color w:val="000000"/>
          <w:sz w:val="24"/>
          <w:szCs w:val="24"/>
        </w:rPr>
        <w:t xml:space="preserve">проекта Решения утверждается распределение </w:t>
      </w:r>
      <w:r>
        <w:rPr>
          <w:bCs/>
          <w:color w:val="000000"/>
          <w:sz w:val="24"/>
          <w:szCs w:val="24"/>
          <w:lang w:val="ru-RU"/>
        </w:rPr>
        <w:t>объёмов</w:t>
      </w:r>
      <w:r>
        <w:rPr>
          <w:bCs/>
          <w:color w:val="000000"/>
          <w:sz w:val="24"/>
          <w:szCs w:val="24"/>
        </w:rPr>
        <w:t xml:space="preserve"> средств направляемых на оплату труда  лиц, замещающих муниципальные должности, муниципальных служащих, работников местного самоуправления муниципальных образований с начислениями на оплату труда и заработную плату с начислениями муниципальных учреждений, оплату коммунальных услуг согласно приложению №10 проекта Решения. Данные показатели уже утверждены в ведомственной структуре расходов, согласно приложению №5 по главам, разделам и подразделам, целевым статьям и видам расходов. </w:t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2. Одновременно с проектом Решения не представлены: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предварительные итоги социально-экономического развития МО «Урдомское»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 (ст.184.2 БК РФ, ст.19 Положения о бюджетном процессе);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 представлен Прогноз социально-экономического развития МО «Урдомское» на 2024 год и плановый период 2025 и 2026 годов 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реестры источников доходов бюджетов бюджетной системы Российской Федерации (ст.184.2 БК РФ, в ст.19 Положения о бюджетном процессе  такой документ не предусмотрен);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основные направления бюджетной политики МО «Урдомское» и основные направления налоговой политики МО «Урдомское»;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 предварительные итоги социально-экономического развития МО «Урдомское» МО «Урдомское» и ожидаемые итоги социально-экономического развития МО «Урдомское» за текущий финансовый год;</w:t>
      </w:r>
    </w:p>
    <w:p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Обращаем внимание на состав приложений к проекту Решения. </w:t>
      </w:r>
      <w:r>
        <w:rPr>
          <w:sz w:val="24"/>
          <w:szCs w:val="24"/>
          <w:lang w:val="ru-RU"/>
        </w:rPr>
        <w:t>Статьёй</w:t>
      </w:r>
      <w:r>
        <w:rPr>
          <w:sz w:val="24"/>
          <w:szCs w:val="24"/>
        </w:rPr>
        <w:t xml:space="preserve"> 18 Положения о бюджетном процессе  предусмотрен к утверждению перечень главных администраторов доходов бюджета.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>
        <w:rPr>
          <w:sz w:val="24"/>
          <w:szCs w:val="24"/>
          <w:lang w:val="ru-RU"/>
        </w:rPr>
        <w:t>статьёй</w:t>
      </w:r>
      <w:r>
        <w:rPr>
          <w:sz w:val="24"/>
          <w:szCs w:val="24"/>
        </w:rPr>
        <w:t xml:space="preserve"> 160.1 БК РФ 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Положения пунктов 3.1 и 3.2 статьи 160.1 (в редакции Федерального закона от 01.07.2021 N 251-ФЗ) применяются к правоотношениям, возникающим при составлении и исполнении бюджетов бюджетной системы РФ, (</w:t>
      </w:r>
      <w:r>
        <w:fldChar w:fldCharType="begin"/>
      </w:r>
      <w:r>
        <w:instrText xml:space="preserve"> HYPERLINK "https://normativ.kontur.ru/document?moduleId=1&amp;documentId=395070" \l "l37" \t "_blank" </w:instrText>
      </w:r>
      <w:r>
        <w:fldChar w:fldCharType="separate"/>
      </w:r>
      <w:r>
        <w:rPr>
          <w:rStyle w:val="10"/>
          <w:color w:val="auto"/>
          <w:sz w:val="24"/>
          <w:szCs w:val="24"/>
          <w:u w:val="none"/>
        </w:rPr>
        <w:t>часть 3</w:t>
      </w:r>
      <w:r>
        <w:rPr>
          <w:rStyle w:val="10"/>
          <w:color w:val="auto"/>
          <w:sz w:val="24"/>
          <w:szCs w:val="24"/>
          <w:u w:val="none"/>
        </w:rPr>
        <w:fldChar w:fldCharType="end"/>
      </w:r>
      <w:r>
        <w:rPr>
          <w:sz w:val="24"/>
          <w:szCs w:val="24"/>
        </w:rPr>
        <w:t> статьи 2 Федерального закона от 01.07.2021 N 251-ФЗ).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главных администраторов доходов бюджета в составе приложений к проекту Решения о бюджете отсутствует. В пояснительной записке отсутствует информация о причинах исключения из состава приложений, перечня главных администраторов доходов бюджета.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приложение к решению о бюджете,  которым утверждается объем межбюджетных трансфертов, получаемых из других бюджетов и предоставляемых бюджетам поселений в очередном финансовом году. В составе  приложений к решению о бюджете такое приложение отсутствует. Рекомендуем рассмотреть актуальность такого приложения.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параметров основных показателей прогноза бюджета на 2024год.</w:t>
      </w:r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характеристики муниципального бюджета на 2024 год</w:t>
      </w:r>
    </w:p>
    <w:p>
      <w:pPr>
        <w:shd w:val="clear" w:color="auto" w:fill="FFFFFF"/>
        <w:jc w:val="both"/>
      </w:pPr>
      <w:r>
        <w:rPr>
          <w:spacing w:val="5"/>
          <w:sz w:val="24"/>
          <w:szCs w:val="24"/>
        </w:rPr>
        <w:t>Параметры проекта бюджета МО «Урдомское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на 2024 год характеризуются следующими показателями</w:t>
      </w:r>
      <w:r>
        <w:rPr>
          <w:sz w:val="24"/>
          <w:szCs w:val="24"/>
        </w:rPr>
        <w:t>:</w:t>
      </w:r>
      <w:r>
        <w:t xml:space="preserve"> </w:t>
      </w:r>
    </w:p>
    <w:p>
      <w:pPr>
        <w:pStyle w:val="22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доходов бюджета   – 148599,1 тыс. рублей  </w:t>
      </w:r>
    </w:p>
    <w:p>
      <w:pPr>
        <w:pStyle w:val="22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расходов бюджета – 148599,1 тыс.  рублей 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дефицита бюджета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0,00 тыс. рублей</w:t>
      </w:r>
      <w:r>
        <w:rPr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>
        <w:rPr>
          <w:rFonts w:eastAsia="TimesNewRomanPSMT"/>
          <w:sz w:val="24"/>
          <w:szCs w:val="24"/>
          <w:lang w:eastAsia="en-US"/>
        </w:rPr>
        <w:t xml:space="preserve">Доходная часть муниципального бюджета на 2024 год по отношению к показателям кассового плана на 01.12.2023 </w:t>
      </w:r>
      <w:r>
        <w:rPr>
          <w:rFonts w:eastAsia="TimesNewRomanPSMT"/>
          <w:sz w:val="24"/>
          <w:szCs w:val="24"/>
          <w:lang w:val="ru-RU" w:eastAsia="en-US"/>
        </w:rPr>
        <w:t>отчёта</w:t>
      </w:r>
      <w:r>
        <w:rPr>
          <w:rFonts w:eastAsia="TimesNewRomanPSMT"/>
          <w:sz w:val="24"/>
          <w:szCs w:val="24"/>
          <w:lang w:eastAsia="en-US"/>
        </w:rPr>
        <w:t xml:space="preserve"> об исполнении бюджета доходы увеличатся  на 83746,8 тыс. руб. или на 229,1,0%.</w:t>
      </w:r>
    </w:p>
    <w:p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>
        <w:rPr>
          <w:rFonts w:eastAsia="TimesNewRomanPSMT"/>
          <w:sz w:val="24"/>
          <w:szCs w:val="24"/>
          <w:lang w:eastAsia="en-US"/>
        </w:rPr>
        <w:t xml:space="preserve">По отношению к ожидаемому исполнению за 2023 год доходы увеличатся на  83746,8 тыс. руб. или на 229,1%, из них налоговые и неналоговые доходы уменьшаются на 1803,6 тыс.руб. или на 5,7 %. </w:t>
      </w:r>
    </w:p>
    <w:p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            </w:t>
      </w:r>
      <w:r>
        <w:rPr>
          <w:rFonts w:eastAsia="TimesNewRomanPSMT"/>
          <w:sz w:val="24"/>
          <w:szCs w:val="24"/>
          <w:lang w:eastAsia="en-US"/>
        </w:rPr>
        <w:t>Расходы муниципального бюджета на 2024 год по отношению к показателям сводной бюджетной росписи на 01.12.2023 увеличатся на 80233,6 тыс. руб. или на 217,35 %. По отношению к ожидаемому исполнению за 2023 год 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Уровень дефицита муниципального бюджета на 2024 год прогнозируется с нулевым показателем к прогнозируемому поступлению налоговых и неналоговых доходов бюджета на 2024 год.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В составе источников финансирования дефицита бюджета на 2024 год  в сумме 0,00 тыс. руб. Иные источники финансирования дефицита бюджета представленным проектом Решения  не планируются.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Налоговые и неналоговые доходы МО «Урдомское» спрогнозированы ниже уровня установленного % проектом Закона о бюджете Архангельской области на 2024 -2026 год, методики прогнозирования поступления в бюджет МО «Урдомское», </w:t>
      </w:r>
      <w:r>
        <w:rPr>
          <w:rFonts w:eastAsia="TimesNewRomanPSMT"/>
          <w:sz w:val="24"/>
          <w:szCs w:val="24"/>
          <w:lang w:val="ru-RU" w:eastAsia="en-US"/>
        </w:rPr>
        <w:t>утверждённой</w:t>
      </w:r>
      <w:r>
        <w:rPr>
          <w:rFonts w:eastAsia="TimesNewRomanPSMT"/>
          <w:sz w:val="24"/>
          <w:szCs w:val="24"/>
          <w:lang w:eastAsia="en-US"/>
        </w:rPr>
        <w:t xml:space="preserve"> постановлением администрации №56 от 19.08.2016г., данных налоговой </w:t>
      </w:r>
      <w:r>
        <w:rPr>
          <w:rFonts w:eastAsia="TimesNewRomanPSMT"/>
          <w:sz w:val="24"/>
          <w:szCs w:val="24"/>
          <w:lang w:val="ru-RU" w:eastAsia="en-US"/>
        </w:rPr>
        <w:t>отчётности</w:t>
      </w:r>
      <w:r>
        <w:rPr>
          <w:rFonts w:eastAsia="TimesNewRomanPSMT"/>
          <w:sz w:val="24"/>
          <w:szCs w:val="24"/>
          <w:lang w:eastAsia="en-US"/>
        </w:rPr>
        <w:t xml:space="preserve"> о налоговой базе, структуре начислений, собираемости налога за 2023 год.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В пояснительной записке к проекту решения не отображена методика расчета контингента налога на доходы физических лиц.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sz w:val="24"/>
          <w:szCs w:val="24"/>
        </w:rPr>
        <w:t xml:space="preserve">Объем безвозмездных поступлений в бюджет МО «Урдомское» от других бюджетов бюджетной системы Российской Федерации с 2021 по 2024 годы спланирован с нарушение БК статей </w:t>
      </w:r>
      <w:r>
        <w:rPr>
          <w:bCs/>
          <w:sz w:val="24"/>
          <w:szCs w:val="24"/>
        </w:rPr>
        <w:t>31, 33, 37, 138.4 и 142 Бюджетного кодекса РФ</w:t>
      </w:r>
      <w:r>
        <w:rPr>
          <w:sz w:val="24"/>
          <w:szCs w:val="24"/>
        </w:rPr>
        <w:t xml:space="preserve"> на 2024 год прогнозируется увеличение </w:t>
      </w:r>
      <w:r>
        <w:rPr>
          <w:sz w:val="24"/>
          <w:szCs w:val="24"/>
          <w:lang w:val="ru-RU"/>
        </w:rPr>
        <w:t>объёмов</w:t>
      </w:r>
      <w:r>
        <w:rPr>
          <w:sz w:val="24"/>
          <w:szCs w:val="24"/>
        </w:rPr>
        <w:t xml:space="preserve"> межбюджетных трансфертов в сумме 114245,9 тыс. руб., что больше прогноза запланированного бюджета МО «Ленский муниципальный район» безвозмездных поступлений в бюджет МО «Урдомское» на 2024 год в сумме 4795,2 рублей.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Уровень дефицита муниципального бюджета, находится в пределах ограничений, установленных п. 3 ст. 92.1 БК РФ, то есть не более 10 % по отношению к налоговым и неналоговым</w:t>
      </w:r>
      <w:r>
        <w:rPr>
          <w:rFonts w:ascii="TimesNewRomanPSMT" w:eastAsia="TimesNewRomanPSMT" w:cs="TimesNewRomanPSMT" w:hAnsiTheme="minorHAnsi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доходам бюджета</w:t>
      </w:r>
      <w:r>
        <w:rPr>
          <w:rFonts w:ascii="TimesNewRomanPSMT" w:eastAsia="TimesNewRomanPSMT" w:cs="TimesNewRomanPSMT" w:hAnsiTheme="minorHAnsi"/>
          <w:sz w:val="28"/>
          <w:szCs w:val="28"/>
          <w:lang w:eastAsia="en-US"/>
        </w:rPr>
        <w:t>.</w:t>
      </w:r>
    </w:p>
    <w:p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Доходы бюджета МО «Урдомское». </w:t>
      </w:r>
    </w:p>
    <w:p>
      <w:pPr>
        <w:pStyle w:val="44"/>
        <w:jc w:val="both"/>
        <w:rPr>
          <w:i/>
        </w:rPr>
      </w:pPr>
      <w:r>
        <w:rPr>
          <w:i/>
        </w:rPr>
        <w:t xml:space="preserve">    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Доходы муниципального бюджета на 2024 год спрогнозированы </w:t>
      </w: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объёме</w:t>
      </w:r>
      <w:r>
        <w:rPr>
          <w:sz w:val="24"/>
          <w:szCs w:val="24"/>
        </w:rPr>
        <w:t xml:space="preserve">  148599,1</w:t>
      </w:r>
      <w:r>
        <w:rPr>
          <w:b/>
        </w:rPr>
        <w:t xml:space="preserve"> </w:t>
      </w:r>
      <w:r>
        <w:rPr>
          <w:sz w:val="24"/>
          <w:szCs w:val="24"/>
        </w:rPr>
        <w:t xml:space="preserve">тыс. руб., что выше ожидаемого исполнения доходов за 2023 год на 80204,3 тыс. руб.    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Структура налоговых и неналоговых доходов муниципального бюджета на 2024 год представлена в таблице. </w:t>
      </w:r>
    </w:p>
    <w:p>
      <w:pPr>
        <w:jc w:val="right"/>
      </w:pPr>
      <w:r>
        <w:t>тыс. руб.</w:t>
      </w:r>
    </w:p>
    <w:tbl>
      <w:tblPr>
        <w:tblStyle w:val="7"/>
        <w:tblW w:w="9438" w:type="dxa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380"/>
        <w:gridCol w:w="1011"/>
        <w:gridCol w:w="1277"/>
        <w:gridCol w:w="1197"/>
        <w:gridCol w:w="1352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2240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391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2022 год </w:t>
            </w:r>
            <w:r>
              <w:rPr>
                <w:b/>
                <w:bCs/>
                <w:color w:val="000000"/>
                <w:sz w:val="16"/>
                <w:szCs w:val="16"/>
              </w:rPr>
              <w:t>(исполнение)</w:t>
            </w:r>
          </w:p>
        </w:tc>
        <w:tc>
          <w:tcPr>
            <w:tcW w:w="247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2023 год </w:t>
            </w:r>
            <w:r>
              <w:rPr>
                <w:b/>
                <w:bCs/>
                <w:color w:val="000000"/>
                <w:sz w:val="16"/>
                <w:szCs w:val="16"/>
              </w:rPr>
              <w:t>(ожидаемое исполнение)</w:t>
            </w:r>
          </w:p>
        </w:tc>
        <w:tc>
          <w:tcPr>
            <w:tcW w:w="2333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240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доля, %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доля, %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доля,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4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28366,0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27355,3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26365,9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4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4939,0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4006,3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3192,1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224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33304,7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31361,6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29558,0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224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33490,7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119041,10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224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69828,0</w:t>
            </w:r>
          </w:p>
        </w:tc>
        <w:tc>
          <w:tcPr>
            <w:tcW w:w="101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64852,3</w:t>
            </w:r>
          </w:p>
        </w:tc>
        <w:tc>
          <w:tcPr>
            <w:tcW w:w="1197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35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148599,10</w:t>
            </w:r>
          </w:p>
        </w:tc>
        <w:tc>
          <w:tcPr>
            <w:tcW w:w="981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>
      <w:pPr>
        <w:jc w:val="right"/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 </w:t>
      </w:r>
    </w:p>
    <w:p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bookmarkStart w:id="0" w:name="_Toc467692649"/>
      <w:bookmarkStart w:id="1" w:name="_Toc497479074"/>
      <w:r>
        <w:rPr>
          <w:b/>
          <w:sz w:val="24"/>
          <w:szCs w:val="24"/>
        </w:rPr>
        <w:t>1.1. Налоговые и неналоговые доходы  бюджета</w:t>
      </w:r>
      <w:bookmarkEnd w:id="0"/>
      <w:bookmarkEnd w:id="1"/>
      <w:r>
        <w:rPr>
          <w:b/>
        </w:rPr>
        <w:t xml:space="preserve"> </w:t>
      </w:r>
      <w:r>
        <w:rPr>
          <w:b/>
          <w:sz w:val="24"/>
          <w:szCs w:val="24"/>
        </w:rPr>
        <w:t>муниципального образования.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Налоговые и неналоговые доходы муниципального бюджета на 2024 год спрогнозированы в </w:t>
      </w:r>
      <w:r>
        <w:rPr>
          <w:sz w:val="24"/>
          <w:szCs w:val="24"/>
          <w:lang w:val="ru-RU"/>
        </w:rPr>
        <w:t>объёме</w:t>
      </w:r>
      <w:r>
        <w:rPr>
          <w:sz w:val="24"/>
          <w:szCs w:val="24"/>
        </w:rPr>
        <w:t xml:space="preserve"> 29558,0 тыс. руб., что на 1803,6 тыс. руб. ниже ожидаемой оценки исполнения за 2023 год или на 5,7%.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Динамика налоговых и неналоговых доходов в 2021 – 2024годах представлена в таблице:</w:t>
      </w:r>
    </w:p>
    <w:p>
      <w:pPr>
        <w:jc w:val="both"/>
        <w:rPr>
          <w:i/>
          <w:sz w:val="24"/>
          <w:szCs w:val="24"/>
        </w:rPr>
      </w:pPr>
    </w:p>
    <w:tbl>
      <w:tblPr>
        <w:tblStyle w:val="7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1282"/>
        <w:gridCol w:w="1282"/>
        <w:gridCol w:w="1525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35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282" w:type="dxa"/>
            <w:vAlign w:val="center"/>
          </w:tcPr>
          <w:p>
            <w:pPr>
              <w:pStyle w:val="1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2021 год</w:t>
            </w:r>
          </w:p>
        </w:tc>
        <w:tc>
          <w:tcPr>
            <w:tcW w:w="1282" w:type="dxa"/>
            <w:vAlign w:val="center"/>
          </w:tcPr>
          <w:p>
            <w:pPr>
              <w:pStyle w:val="1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2022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2023 год</w:t>
            </w:r>
          </w:p>
        </w:tc>
        <w:tc>
          <w:tcPr>
            <w:tcW w:w="1283" w:type="dxa"/>
            <w:vMerge w:val="restart"/>
          </w:tcPr>
          <w:p>
            <w:pPr>
              <w:pStyle w:val="15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Проект бюджета       на </w:t>
            </w:r>
            <w:r>
              <w:rPr>
                <w:b w:val="0"/>
                <w:iCs/>
                <w:sz w:val="18"/>
                <w:szCs w:val="18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3597" w:type="dxa"/>
            <w:vMerge w:val="continue"/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15"/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>(</w:t>
            </w:r>
            <w:r>
              <w:rPr>
                <w:b w:val="0"/>
                <w:iCs/>
                <w:sz w:val="18"/>
                <w:szCs w:val="18"/>
                <w:lang w:val="ru-RU"/>
              </w:rPr>
              <w:t>отчёт</w:t>
            </w:r>
            <w:r>
              <w:rPr>
                <w:b w:val="0"/>
                <w:iCs/>
                <w:sz w:val="18"/>
                <w:szCs w:val="18"/>
              </w:rPr>
              <w:t>)</w:t>
            </w:r>
          </w:p>
        </w:tc>
        <w:tc>
          <w:tcPr>
            <w:tcW w:w="1282" w:type="dxa"/>
            <w:vAlign w:val="center"/>
          </w:tcPr>
          <w:p>
            <w:pPr>
              <w:pStyle w:val="15"/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>(</w:t>
            </w:r>
            <w:r>
              <w:rPr>
                <w:b w:val="0"/>
                <w:iCs/>
                <w:sz w:val="18"/>
                <w:szCs w:val="18"/>
                <w:lang w:val="ru-RU"/>
              </w:rPr>
              <w:t>отчёт</w:t>
            </w:r>
            <w:r>
              <w:rPr>
                <w:b w:val="0"/>
                <w:iCs/>
                <w:sz w:val="18"/>
                <w:szCs w:val="18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b w:val="0"/>
                <w:iCs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>(ожидаемое)</w:t>
            </w:r>
          </w:p>
        </w:tc>
        <w:tc>
          <w:tcPr>
            <w:tcW w:w="1283" w:type="dxa"/>
            <w:vMerge w:val="continue"/>
          </w:tcPr>
          <w:p>
            <w:pPr>
              <w:pStyle w:val="15"/>
              <w:jc w:val="center"/>
              <w:rPr>
                <w:b w:val="0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34061,5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31805,4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31361,6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29558,0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Налоговые доходы, в.т.ч: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27637,6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27138,6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27355,2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26365,9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22036,8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21350,0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21267,0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20444,5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2760,8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3089,2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2840,0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2866,6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2999,0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597" w:type="dxa"/>
            <w:shd w:val="clear" w:color="auto" w:fill="auto"/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Неналоговые доходы, в.т.ч: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6423,9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4666,8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4006,6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3192,10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597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5437,4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4446,8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3846,6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3597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396,5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3597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</w:tbl>
    <w:p>
      <w:pPr>
        <w:jc w:val="both"/>
        <w:rPr>
          <w:i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 снижением к ожидаемой оценке 2023 года прогнозируется поступление налоговых и неналоговых доходы на 1803,6 тыс. руб., в том числе снижение налоговых доходов на 989,3 тыс. руб., снижение  неналоговых доходов на 814,50 тыс. руб.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Налоговые доходы на 2024 год спрогнозированы в сумме 26365,9 тыс. руб. или 89,2 % от общей суммы налоговых и неналоговых доходов. 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Неналоговые доходы</w:t>
      </w:r>
      <w:r>
        <w:rPr>
          <w:sz w:val="24"/>
          <w:szCs w:val="24"/>
        </w:rPr>
        <w:t xml:space="preserve"> на 2024 год прогнозируются в сумме 3192,10 тыс. руб. или 11,0 % от общей суммы налоговых и неналоговых доходов. 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>Поступление неналоговых доходов в целом прогнозируется со снижением  на 1803,6 тыс. руб. или на 5,7 % к ожидаемому исполнению за 2023 год.</w:t>
      </w:r>
    </w:p>
    <w:p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 xml:space="preserve">Налоговые доходы муниципального бюджета. 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Основным источником формирования налоговых доходов муниципального бюджета на 2024 год является </w:t>
      </w:r>
      <w:r>
        <w:rPr>
          <w:b/>
          <w:sz w:val="24"/>
          <w:szCs w:val="24"/>
        </w:rPr>
        <w:t>налог на доходы физических лиц</w:t>
      </w:r>
      <w:r>
        <w:rPr>
          <w:sz w:val="24"/>
          <w:szCs w:val="24"/>
        </w:rPr>
        <w:t>. Указанные поступления спрогнозированы в сумме 20444,5 тыс. руб., что в структуре налоговых и неналоговых доходов составляет 69,1 %. Прогнозируемая сумма по налогу на доходы физических лиц ниже ожидаемой оценки поступления за 2023 год на 822,5 тыс. руб. или 3,9 %.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  <w:lang w:val="ru-RU"/>
        </w:rPr>
        <w:t>расчёта</w:t>
      </w:r>
      <w:r>
        <w:rPr>
          <w:sz w:val="24"/>
          <w:szCs w:val="24"/>
        </w:rPr>
        <w:t xml:space="preserve"> прогноза налога на доходы физических лиц должны быть использованы показатели фонда оплаты труда работников организаций, предусмотренные Прогнозом социально-экономического развития муниципального образования «Урдомское» на 2024 год и плановый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период 2025 и 2026 годов.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Прогнозируемое поступление доходов муниципального бюджета МО «Урдомское» на 2024 год по налогу на доходы физических лиц 20444,5 тыс. руб.</w:t>
      </w:r>
    </w:p>
    <w:p>
      <w:pPr>
        <w:tabs>
          <w:tab w:val="left" w:pos="703"/>
        </w:tabs>
        <w:jc w:val="both"/>
        <w:rPr>
          <w:sz w:val="24"/>
          <w:szCs w:val="24"/>
        </w:rPr>
      </w:pPr>
      <w:r>
        <w:rPr>
          <w:i/>
          <w:sz w:val="28"/>
        </w:rPr>
        <w:t xml:space="preserve">          </w:t>
      </w:r>
      <w:r>
        <w:rPr>
          <w:sz w:val="24"/>
          <w:szCs w:val="24"/>
        </w:rPr>
        <w:t>Финансовым отделом Администрации МО «Ленский муниципальный район» в прогнозе прогнозного потенциала МО «Урдомское», просчитана сумма налога на доходы физических лиц 23282,8 тыс. руб., норматив отчислений установлен в соответствии с проектом Закона о бюджете Архангельской области на 2024 – 2026 годы.</w:t>
      </w:r>
    </w:p>
    <w:p>
      <w:pPr>
        <w:tabs>
          <w:tab w:val="left" w:pos="7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КСК рекомендует привести поступление налога на доходы физических лиц в соответствии с нормами проекта областного закона об областном  бюджете Архангельской области на 2024 год и на плановый период 2025 и 2026 годов.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пояснительной записке к проекту Решения  КСК рекомендует отобразить методику </w:t>
      </w:r>
      <w:r>
        <w:rPr>
          <w:sz w:val="24"/>
          <w:szCs w:val="24"/>
          <w:lang w:val="ru-RU"/>
        </w:rPr>
        <w:t>расчёта</w:t>
      </w:r>
      <w:r>
        <w:rPr>
          <w:sz w:val="24"/>
          <w:szCs w:val="24"/>
        </w:rPr>
        <w:t xml:space="preserve"> контингента налога.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>Необходимо отметить, что в</w:t>
      </w:r>
      <w:r>
        <w:rPr>
          <w:sz w:val="24"/>
          <w:szCs w:val="24"/>
        </w:rPr>
        <w:t xml:space="preserve"> соответствии методикой прогнозирования поступлений доходов прогноз по налогу на доходы физических лиц не обоснован.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 переданных налоговых доходов должен исходить из принципа сбалансированности бюджетной системы, т.е. соответствовать разграничению расходных полномочий между местными бюджетами и решаемых органами местного самоуправления вопросов местного значения.</w:t>
      </w:r>
      <w:r>
        <w:rPr>
          <w:rFonts w:hint="eastAsia" w:ascii="TimesNewRomanPSMT" w:eastAsia="TimesNewRomanPSMT" w:cs="TimesNewRomanPSMT" w:hAnsiTheme="minorHAnsi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Не</w:t>
      </w:r>
      <w:r>
        <w:rPr>
          <w:rFonts w:eastAsiaTheme="minorHAnsi"/>
          <w:sz w:val="24"/>
          <w:szCs w:val="24"/>
          <w:lang w:eastAsia="en-US"/>
        </w:rPr>
        <w:t>сбалансированность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val="ru-RU" w:eastAsia="en-US"/>
        </w:rPr>
        <w:t>расчётов</w:t>
      </w:r>
      <w:r>
        <w:rPr>
          <w:rFonts w:eastAsia="TimesNewRomanPSMT"/>
          <w:sz w:val="24"/>
          <w:szCs w:val="24"/>
          <w:lang w:eastAsia="en-US"/>
        </w:rPr>
        <w:t xml:space="preserve"> по налогу на доходы физических лиц  указывает на возможные риски не выполнения прогнозных показателей решения </w:t>
      </w:r>
      <w:r>
        <w:rPr>
          <w:rFonts w:eastAsiaTheme="minorHAnsi"/>
          <w:sz w:val="24"/>
          <w:szCs w:val="24"/>
          <w:lang w:eastAsia="en-US"/>
        </w:rPr>
        <w:t xml:space="preserve">вопросов местного значения. </w:t>
      </w:r>
    </w:p>
    <w:p>
      <w:pPr>
        <w:tabs>
          <w:tab w:val="left" w:pos="703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Налог на товары (работы, услуги), реализуемые на территории Российской Федерации.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ru-RU"/>
        </w:rPr>
        <w:t>Расчёт</w:t>
      </w:r>
      <w:r>
        <w:rPr>
          <w:sz w:val="24"/>
          <w:szCs w:val="24"/>
        </w:rPr>
        <w:t xml:space="preserve"> прогнозируемых </w:t>
      </w:r>
      <w:r>
        <w:rPr>
          <w:sz w:val="24"/>
          <w:szCs w:val="24"/>
          <w:lang w:val="ru-RU"/>
        </w:rPr>
        <w:t>объёмов</w:t>
      </w:r>
      <w:r>
        <w:rPr>
          <w:sz w:val="24"/>
          <w:szCs w:val="24"/>
        </w:rPr>
        <w:t xml:space="preserve"> акцизов на нефтепродукты на 2024 год выполнен в нарушение прогноза поступлений акцизов в целом по Архангельской области и установленными нормативами распределения в бюджет Ленского района.</w:t>
      </w:r>
      <w:r>
        <w:rPr>
          <w:sz w:val="28"/>
        </w:rPr>
        <w:t xml:space="preserve"> </w:t>
      </w:r>
    </w:p>
    <w:p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Расчёт</w:t>
      </w:r>
      <w:r>
        <w:rPr>
          <w:sz w:val="24"/>
          <w:szCs w:val="24"/>
        </w:rPr>
        <w:t xml:space="preserve"> прогнозируемых </w:t>
      </w:r>
      <w:r>
        <w:rPr>
          <w:sz w:val="24"/>
          <w:szCs w:val="24"/>
          <w:lang w:val="ru-RU"/>
        </w:rPr>
        <w:t>объёмов</w:t>
      </w:r>
      <w:r>
        <w:rPr>
          <w:sz w:val="24"/>
          <w:szCs w:val="24"/>
        </w:rPr>
        <w:t xml:space="preserve"> акцизов на нефтепродукты на 2024 год должен быть выполнен в соответствии с прогнозом поступлений акцизов в целом по Архангельской области и установленными нормативами распределения в городское поселение «Урдомское».</w:t>
      </w:r>
    </w:p>
    <w:p>
      <w:pPr>
        <w:tabs>
          <w:tab w:val="left" w:pos="703"/>
        </w:tabs>
        <w:jc w:val="both"/>
        <w:rPr>
          <w:sz w:val="24"/>
          <w:szCs w:val="24"/>
        </w:rPr>
      </w:pPr>
      <w:r>
        <w:rPr>
          <w:i/>
          <w:sz w:val="28"/>
        </w:rPr>
        <w:t xml:space="preserve">          </w:t>
      </w:r>
      <w:r>
        <w:rPr>
          <w:sz w:val="24"/>
          <w:szCs w:val="24"/>
        </w:rPr>
        <w:t xml:space="preserve">На 2024 год дифференцированный норматив отчислений от акцизов в бюджет городского поселения (проект Закона о бюджете Архангельской области на 2024 – 2026 годы) установлен в размере 0,071180%. </w:t>
      </w:r>
    </w:p>
    <w:p>
      <w:pPr>
        <w:jc w:val="both"/>
        <w:rPr>
          <w:rFonts w:eastAsia="TimesNewRomanPSMT"/>
          <w:i/>
          <w:sz w:val="24"/>
          <w:szCs w:val="24"/>
          <w:lang w:eastAsia="en-US"/>
        </w:rPr>
      </w:pPr>
      <w:r>
        <w:rPr>
          <w:i/>
          <w:sz w:val="24"/>
          <w:szCs w:val="24"/>
        </w:rPr>
        <w:t xml:space="preserve">             </w:t>
      </w:r>
      <w:r>
        <w:rPr>
          <w:sz w:val="24"/>
          <w:szCs w:val="24"/>
        </w:rPr>
        <w:t>КСК рекомендует дифференцированный норматив отчислений акцизов на нефтепродукты привести в соответствии с нормами проекта областного закона об областном  бюджете Архангельской области на 2024 год и на плановый период 2025 и 2026 годов.</w:t>
      </w:r>
      <w:r>
        <w:rPr>
          <w:rFonts w:eastAsia="TimesNewRomanPSMT"/>
          <w:i/>
          <w:sz w:val="24"/>
          <w:szCs w:val="24"/>
          <w:lang w:eastAsia="en-US"/>
        </w:rPr>
        <w:t xml:space="preserve">      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>Зачисление в 2024 году акцизов на нефтепродукты осуществляется по установленным нормативам в местные бюджеты с целью формирования дорожных фондов.</w:t>
      </w:r>
    </w:p>
    <w:p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Акцизы в муниципальном бюджете на 2023 год представлены доходами </w:t>
      </w:r>
      <w:r>
        <w:rPr>
          <w:rFonts w:eastAsiaTheme="minorHAnsi"/>
          <w:sz w:val="24"/>
          <w:szCs w:val="24"/>
          <w:lang w:eastAsia="en-US"/>
        </w:rPr>
        <w:t xml:space="preserve">от уплаты акцизов на автомобильный бензин, подлежащие распределению между бюджетами субъектов Российской Федерации и местными бюджетами с </w:t>
      </w:r>
      <w:r>
        <w:rPr>
          <w:rFonts w:eastAsiaTheme="minorHAnsi"/>
          <w:sz w:val="24"/>
          <w:szCs w:val="24"/>
          <w:lang w:val="ru-RU" w:eastAsia="en-US"/>
        </w:rPr>
        <w:t>учётом</w:t>
      </w:r>
      <w:r>
        <w:rPr>
          <w:rFonts w:eastAsiaTheme="minorHAnsi"/>
          <w:sz w:val="24"/>
          <w:szCs w:val="24"/>
          <w:lang w:eastAsia="en-US"/>
        </w:rPr>
        <w:t xml:space="preserve"> установленных дифференцированных нормативов отчислений в местные бюджеты.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Общий объем поступления акцизов на 2023 год рассчитан в сумме 3693,0 тыс. руб., что превышает ожидаемые поступления в 2023 году на 603,8тыс. руб. или на 19,5 %. </w:t>
      </w:r>
    </w:p>
    <w:p>
      <w:pPr>
        <w:tabs>
          <w:tab w:val="left" w:pos="703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 соответствии с нормами проекта Закона о бюджете Архангельской области на 2023 – 2025 годы </w:t>
      </w:r>
      <w:r>
        <w:rPr>
          <w:rFonts w:eastAsia="TimesNewRomanPSMT"/>
          <w:sz w:val="24"/>
          <w:szCs w:val="24"/>
          <w:lang w:eastAsia="en-US"/>
        </w:rPr>
        <w:t xml:space="preserve">доходы от уплаты акцизов на нефтепродукты прогнозируется в сумме 3947,3 тыс. руб., расхождения составили 254,3 тыс. руб. 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>
        <w:rPr>
          <w:sz w:val="24"/>
          <w:szCs w:val="24"/>
        </w:rPr>
        <w:t>КСК рекомендует</w:t>
      </w:r>
      <w:r>
        <w:rPr>
          <w:rFonts w:eastAsia="TimesNewRomanPSMT"/>
          <w:sz w:val="24"/>
          <w:szCs w:val="24"/>
          <w:lang w:eastAsia="en-US"/>
        </w:rPr>
        <w:t xml:space="preserve"> доходы от уплаты акцизов на нефтепродукты прогнозировать в  </w:t>
      </w:r>
      <w:r>
        <w:rPr>
          <w:sz w:val="24"/>
          <w:szCs w:val="24"/>
        </w:rPr>
        <w:t xml:space="preserve">соответствии нормами проекта Закона о бюджете Архангельской области на 2023 – 2025 годы в сумме </w:t>
      </w:r>
      <w:r>
        <w:rPr>
          <w:rFonts w:eastAsia="TimesNewRomanPSMT"/>
          <w:sz w:val="24"/>
          <w:szCs w:val="24"/>
          <w:lang w:eastAsia="en-US"/>
        </w:rPr>
        <w:t>3947,8 тыс. руб.</w:t>
      </w:r>
    </w:p>
    <w:p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          </w:t>
      </w:r>
      <w:r>
        <w:rPr>
          <w:rFonts w:eastAsia="TimesNewRomanPSMT"/>
          <w:sz w:val="24"/>
          <w:szCs w:val="24"/>
          <w:lang w:eastAsia="en-US"/>
        </w:rPr>
        <w:t xml:space="preserve">Поступление </w:t>
      </w:r>
      <w:r>
        <w:rPr>
          <w:rFonts w:eastAsia="TimesNewRomanPSMT"/>
          <w:b/>
          <w:sz w:val="24"/>
          <w:szCs w:val="24"/>
          <w:lang w:eastAsia="en-US"/>
        </w:rPr>
        <w:t>налог на имущество</w:t>
      </w:r>
      <w:r>
        <w:rPr>
          <w:rFonts w:eastAsia="TimesNewRomanPSMT"/>
          <w:sz w:val="24"/>
          <w:szCs w:val="24"/>
          <w:lang w:eastAsia="en-US"/>
        </w:rPr>
        <w:t xml:space="preserve"> в 2023 году в муниципальный бюджет прогнозируется в </w:t>
      </w:r>
      <w:r>
        <w:rPr>
          <w:rFonts w:eastAsia="TimesNewRomanPSMT"/>
          <w:sz w:val="24"/>
          <w:szCs w:val="24"/>
          <w:lang w:val="ru-RU" w:eastAsia="en-US"/>
        </w:rPr>
        <w:t>объёме</w:t>
      </w:r>
      <w:r>
        <w:rPr>
          <w:rFonts w:eastAsia="TimesNewRomanPSMT"/>
          <w:sz w:val="24"/>
          <w:szCs w:val="24"/>
          <w:lang w:eastAsia="en-US"/>
        </w:rPr>
        <w:t xml:space="preserve"> 1133,5 тыс. руб..</w:t>
      </w:r>
    </w:p>
    <w:p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          </w:t>
      </w:r>
      <w:r>
        <w:rPr>
          <w:rFonts w:eastAsia="TimesNewRomanPSMT"/>
          <w:sz w:val="24"/>
          <w:szCs w:val="24"/>
          <w:lang w:eastAsia="en-US"/>
        </w:rPr>
        <w:t xml:space="preserve">Прогноз поступления </w:t>
      </w:r>
      <w:r>
        <w:rPr>
          <w:rFonts w:eastAsia="TimesNewRomanPSMT"/>
          <w:b/>
          <w:sz w:val="24"/>
          <w:szCs w:val="24"/>
          <w:lang w:eastAsia="en-US"/>
        </w:rPr>
        <w:t>налога на имущество физических лиц</w:t>
      </w:r>
      <w:r>
        <w:rPr>
          <w:rFonts w:eastAsia="TimesNewRomanPSMT"/>
          <w:sz w:val="24"/>
          <w:szCs w:val="24"/>
          <w:lang w:eastAsia="en-US"/>
        </w:rPr>
        <w:t xml:space="preserve"> на 2024 год с </w:t>
      </w:r>
      <w:r>
        <w:rPr>
          <w:rFonts w:eastAsia="TimesNewRomanPSMT"/>
          <w:sz w:val="24"/>
          <w:szCs w:val="24"/>
          <w:lang w:val="ru-RU" w:eastAsia="en-US"/>
        </w:rPr>
        <w:t>учётом</w:t>
      </w:r>
      <w:r>
        <w:rPr>
          <w:rFonts w:eastAsia="TimesNewRomanPSMT"/>
          <w:sz w:val="24"/>
          <w:szCs w:val="24"/>
          <w:lang w:eastAsia="en-US"/>
        </w:rPr>
        <w:t xml:space="preserve"> средней ставки налога на имущество и сроков уплаты составит 1133,5 тыс. руб., что ниже уровня ожидаемого поступления в 2023 году на 384,5 тыс. руб. или на 25,3%.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Прогноз поступления налога на имущество физических лиц на основе </w:t>
      </w:r>
      <w:r>
        <w:rPr>
          <w:rFonts w:eastAsia="TimesNewRomanPSMT"/>
          <w:sz w:val="24"/>
          <w:szCs w:val="24"/>
          <w:lang w:val="ru-RU" w:eastAsia="en-US"/>
        </w:rPr>
        <w:t>отчёта</w:t>
      </w:r>
      <w:r>
        <w:rPr>
          <w:rFonts w:eastAsia="TimesNewRomanPSMT"/>
          <w:sz w:val="24"/>
          <w:szCs w:val="24"/>
          <w:lang w:eastAsia="en-US"/>
        </w:rPr>
        <w:t xml:space="preserve"> УФНС по Архангельской области и НАО на 2024 год составляет 2040,0 тыс. руб.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Прогноз поступления </w:t>
      </w:r>
      <w:r>
        <w:rPr>
          <w:sz w:val="24"/>
          <w:szCs w:val="24"/>
        </w:rPr>
        <w:t>в соответствии с нормами проекта</w:t>
      </w:r>
      <w:r>
        <w:rPr>
          <w:rFonts w:eastAsia="TimesNewRomanPSMT"/>
          <w:i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 xml:space="preserve">Решения бюджета муниципального образования «Ленский муниципальный район» на 2024 год составляет 2040,0 тыс. руб. 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Обращаем внимание, что при </w:t>
      </w:r>
      <w:r>
        <w:rPr>
          <w:rFonts w:eastAsia="TimesNewRomanPSMT"/>
          <w:sz w:val="24"/>
          <w:szCs w:val="24"/>
          <w:lang w:val="ru-RU" w:eastAsia="en-US"/>
        </w:rPr>
        <w:t>расчёте</w:t>
      </w:r>
      <w:r>
        <w:rPr>
          <w:rFonts w:eastAsia="TimesNewRomanPSMT"/>
          <w:sz w:val="24"/>
          <w:szCs w:val="24"/>
          <w:lang w:eastAsia="en-US"/>
        </w:rPr>
        <w:t xml:space="preserve"> прогнозирования поступления налога на имущество физических лиц</w:t>
      </w:r>
      <w:r>
        <w:rPr>
          <w:rFonts w:eastAsia="TimesNewRomanPSMT"/>
          <w:i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 xml:space="preserve">нарушена методика прогнозирования поступления доходов в бюджет МО «Урдомское», </w:t>
      </w:r>
      <w:r>
        <w:rPr>
          <w:rFonts w:eastAsia="TimesNewRomanPSMT"/>
          <w:sz w:val="24"/>
          <w:szCs w:val="24"/>
          <w:lang w:val="ru-RU" w:eastAsia="en-US"/>
        </w:rPr>
        <w:t>утверждённая</w:t>
      </w:r>
      <w:r>
        <w:rPr>
          <w:rFonts w:eastAsia="TimesNewRomanPSMT"/>
          <w:sz w:val="24"/>
          <w:szCs w:val="24"/>
          <w:lang w:eastAsia="en-US"/>
        </w:rPr>
        <w:t xml:space="preserve">  постановлением администрации № 56 от 19.08.2016 года.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 xml:space="preserve">Прогноз поступления </w:t>
      </w:r>
      <w:r>
        <w:rPr>
          <w:rFonts w:eastAsia="TimesNewRomanPSMT"/>
          <w:b/>
          <w:sz w:val="24"/>
          <w:szCs w:val="24"/>
          <w:lang w:eastAsia="en-US"/>
        </w:rPr>
        <w:t>земельного налога</w:t>
      </w:r>
      <w:r>
        <w:rPr>
          <w:rFonts w:eastAsia="TimesNewRomanPSMT"/>
          <w:sz w:val="24"/>
          <w:szCs w:val="24"/>
          <w:lang w:eastAsia="en-US"/>
        </w:rPr>
        <w:t xml:space="preserve"> на 2024 год с </w:t>
      </w:r>
      <w:r>
        <w:rPr>
          <w:rFonts w:eastAsia="TimesNewRomanPSMT"/>
          <w:sz w:val="24"/>
          <w:szCs w:val="24"/>
          <w:lang w:val="ru-RU" w:eastAsia="en-US"/>
        </w:rPr>
        <w:t>учётом</w:t>
      </w:r>
      <w:r>
        <w:rPr>
          <w:rFonts w:eastAsia="TimesNewRomanPSMT"/>
          <w:sz w:val="24"/>
          <w:szCs w:val="24"/>
          <w:lang w:eastAsia="en-US"/>
        </w:rPr>
        <w:t xml:space="preserve"> средней ставки налога и сроков уплаты составит 1094,9 тыс. руб., с уменьшением к ожидаемому поступлению в 2023 году на 388,1 тыс. руб., или на 26,7%. </w:t>
      </w:r>
    </w:p>
    <w:p>
      <w:pPr>
        <w:tabs>
          <w:tab w:val="left" w:pos="703"/>
        </w:tabs>
        <w:jc w:val="both"/>
        <w:rPr>
          <w:rFonts w:eastAsia="TimesNewRomanPSMT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Финансовым отделом Администрации МО «Ленский муниципальный район» в прогнозе прогнозного потенциала МО «Урдомское», просчитана сумма земельного налога 1569,0 тыс. руб.. </w:t>
      </w:r>
      <w:r>
        <w:rPr>
          <w:rFonts w:eastAsia="TimesNewRomanPSMT"/>
          <w:sz w:val="24"/>
          <w:szCs w:val="24"/>
          <w:lang w:eastAsia="en-US"/>
        </w:rPr>
        <w:t xml:space="preserve">Расчёт поступления земельного налога </w:t>
      </w:r>
      <w:r>
        <w:rPr>
          <w:rFonts w:eastAsia="TimesNewRomanPSMT"/>
          <w:sz w:val="24"/>
          <w:szCs w:val="24"/>
          <w:lang w:val="ru-RU" w:eastAsia="en-US"/>
        </w:rPr>
        <w:t>произведён</w:t>
      </w:r>
      <w:r>
        <w:rPr>
          <w:rFonts w:eastAsia="TimesNewRomanPSMT"/>
          <w:sz w:val="24"/>
          <w:szCs w:val="24"/>
          <w:lang w:eastAsia="en-US"/>
        </w:rPr>
        <w:t xml:space="preserve"> исходя из данных налоговой отчетности о налоговой базе, структуре начислений, собираемости налога за 2023 год.</w:t>
      </w:r>
    </w:p>
    <w:p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Неналоговые доходы муниципального бюджета.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Неналоговые доходы на 2024 год предусмотрены в общей сумме 3192,1 тыс. руб. или 10,8 % от общей суммы налоговых и неналоговых доходов, что ниже ожидаемого поступления за 2023 год на 814,5 тыс. руб. или на 20,3% (ожидаемое поступление 2023 года – 4006,6 тыс. руб.).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Объем планируемых неналоговых поступлений на 2024 год сформирован за </w:t>
      </w:r>
      <w:r>
        <w:rPr>
          <w:sz w:val="24"/>
          <w:szCs w:val="24"/>
          <w:lang w:val="ru-RU"/>
        </w:rPr>
        <w:t>счёт</w:t>
      </w:r>
      <w:r>
        <w:rPr>
          <w:sz w:val="24"/>
          <w:szCs w:val="24"/>
        </w:rPr>
        <w:t>:</w:t>
      </w:r>
    </w:p>
    <w:p>
      <w:pPr>
        <w:pStyle w:val="1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- 3037,1 тыс. руб. д</w:t>
      </w:r>
      <w:r>
        <w:rPr>
          <w:rFonts w:ascii="Times New Roman" w:hAnsi="Times New Roman" w:cs="Times New Roman"/>
          <w:iCs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или 95,1 % от общего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объёма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неналоговых поступлений;</w:t>
      </w:r>
    </w:p>
    <w:p>
      <w:pPr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- 155,0 тыс. руб. прочие неналоговые доходы</w:t>
      </w:r>
      <w:r>
        <w:rPr>
          <w:sz w:val="24"/>
          <w:szCs w:val="24"/>
        </w:rPr>
        <w:t xml:space="preserve"> или 4,9 % от общего </w:t>
      </w:r>
      <w:r>
        <w:rPr>
          <w:sz w:val="24"/>
          <w:szCs w:val="24"/>
          <w:lang w:val="ru-RU"/>
        </w:rPr>
        <w:t>объёма</w:t>
      </w:r>
      <w:r>
        <w:rPr>
          <w:sz w:val="24"/>
          <w:szCs w:val="24"/>
        </w:rPr>
        <w:t xml:space="preserve"> планируемых неналоговых поступлений.</w:t>
      </w:r>
    </w:p>
    <w:p>
      <w:pPr>
        <w:widowControl w:val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В соответствии с разделом 3.  Методики прогнозирования поступлений доходов в бюджет МО «Урдомское», </w:t>
      </w:r>
      <w:r>
        <w:rPr>
          <w:sz w:val="24"/>
          <w:szCs w:val="24"/>
          <w:lang w:val="ru-RU"/>
        </w:rPr>
        <w:t>утверждённой</w:t>
      </w:r>
      <w:r>
        <w:rPr>
          <w:sz w:val="24"/>
          <w:szCs w:val="24"/>
        </w:rPr>
        <w:t xml:space="preserve"> постановлением Администрации МО «Урдомское» от 19.08.2016 № 56 прогнозирование прочих неналоговых доходов  бюджета МО осуществляется на основе данных о фактических поступлениях в бюджет в последнем </w:t>
      </w:r>
      <w:r>
        <w:rPr>
          <w:sz w:val="24"/>
          <w:szCs w:val="24"/>
          <w:lang w:val="ru-RU"/>
        </w:rPr>
        <w:t>отчётном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году, ожидаемом поступлении в текущем году с </w:t>
      </w:r>
      <w:r>
        <w:rPr>
          <w:sz w:val="24"/>
          <w:szCs w:val="24"/>
          <w:lang w:val="ru-RU"/>
        </w:rPr>
        <w:t>учётом</w:t>
      </w:r>
      <w:r>
        <w:rPr>
          <w:sz w:val="24"/>
          <w:szCs w:val="24"/>
        </w:rPr>
        <w:t xml:space="preserve"> динамики поступлений.</w:t>
      </w:r>
      <w:r>
        <w:rPr>
          <w:i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>При этом необходимо отметить, что в</w:t>
      </w:r>
      <w:r>
        <w:rPr>
          <w:sz w:val="24"/>
          <w:szCs w:val="24"/>
        </w:rPr>
        <w:t xml:space="preserve"> соответствии с разделом 3.  Методики прогнозирования поступлений доходов прогноз прочих поступлений от использования имущества занижен (необоснован).</w:t>
      </w:r>
    </w:p>
    <w:p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Кроме того с </w:t>
      </w:r>
      <w:r>
        <w:rPr>
          <w:rFonts w:eastAsia="TimesNewRomanPSMT"/>
          <w:sz w:val="24"/>
          <w:szCs w:val="24"/>
          <w:lang w:val="ru-RU" w:eastAsia="en-US"/>
        </w:rPr>
        <w:t>учётом</w:t>
      </w:r>
      <w:r>
        <w:rPr>
          <w:rFonts w:eastAsia="TimesNewRomanPSMT"/>
          <w:sz w:val="24"/>
          <w:szCs w:val="24"/>
          <w:lang w:eastAsia="en-US"/>
        </w:rPr>
        <w:t xml:space="preserve"> фактического исполнения в 2022-2023 годы и ожидаемого исполнения за 2024 год по данному виду прогнозные назначения занижены.</w:t>
      </w:r>
    </w:p>
    <w:p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4"/>
          <w:szCs w:val="24"/>
          <w:lang w:eastAsia="en-US"/>
        </w:rPr>
      </w:pPr>
      <w:r>
        <w:rPr>
          <w:sz w:val="24"/>
          <w:szCs w:val="24"/>
          <w:u w:val="single"/>
        </w:rPr>
        <w:t>Прочие неналоговые доходы</w:t>
      </w:r>
      <w:r>
        <w:rPr>
          <w:sz w:val="24"/>
          <w:szCs w:val="24"/>
        </w:rPr>
        <w:t xml:space="preserve"> прогнозируются в сумме 155 тыс. руб.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 снижением к ожидаемому поступлению за 2024 год на 5,0 тыс. руб. или на 3,1%.</w:t>
      </w:r>
    </w:p>
    <w:p>
      <w:pPr>
        <w:suppressAutoHyphens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Безвозмездные поступления бюджета муниципального образования.</w:t>
      </w:r>
    </w:p>
    <w:p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Проекте Решения предусмотрены безвозмездные поступления в сумме 119041,1 тыс. рублей.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>Проектом на 2024 год предусматриваются безвозмездные поступления от других бюджетов бюджетной системы РФ в сумме 119041,1 тыс. руб..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>Безвозмездные поступления за период 2021 – 2024 годы характеризуется следующими данными: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тыс. руб.</w:t>
      </w:r>
    </w:p>
    <w:tbl>
      <w:tblPr>
        <w:tblStyle w:val="7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1476"/>
        <w:gridCol w:w="1476"/>
        <w:gridCol w:w="1476"/>
        <w:gridCol w:w="124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58" w:hRule="atLeast"/>
          <w:jc w:val="center"/>
        </w:trPr>
        <w:tc>
          <w:tcPr>
            <w:tcW w:w="332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3329" w:type="dxa"/>
            <w:vMerge w:val="continue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отчёт</w:t>
            </w:r>
            <w:r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(</w:t>
            </w:r>
            <w:r>
              <w:rPr>
                <w:bCs/>
                <w:iCs/>
                <w:color w:val="000000"/>
                <w:sz w:val="18"/>
                <w:szCs w:val="18"/>
                <w:lang w:val="ru-RU"/>
              </w:rPr>
              <w:t>отчёт</w:t>
            </w:r>
            <w:r>
              <w:rPr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(план)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(проект)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329" w:type="dxa"/>
            <w:shd w:val="clear" w:color="auto" w:fill="auto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– всего, в том числе: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5662,7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2568,6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33490,7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119041,1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329" w:type="dxa"/>
            <w:shd w:val="clear" w:color="auto" w:fill="auto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5657,7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2568,6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33490,7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119041,1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329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29" w:type="dxa"/>
            <w:shd w:val="clear" w:color="auto" w:fill="auto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Доля безвозмездных поступлений в  доходах муниципального бюджета, %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</w:tr>
    </w:tbl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Как видно из таблицы, объем безвозмездных поступлений в муниципальный бюджет от других бюджетов бюджетной системы Российской Федерации с 2021 по 2024 годы спланирован с нарушение БК статей </w:t>
      </w:r>
      <w:r>
        <w:rPr>
          <w:bCs/>
          <w:sz w:val="24"/>
          <w:szCs w:val="24"/>
        </w:rPr>
        <w:t>31, 33, 37, 138.4 и 142 Бюджетного кодекса РФ,</w:t>
      </w:r>
      <w:r>
        <w:rPr>
          <w:sz w:val="24"/>
          <w:szCs w:val="24"/>
        </w:rPr>
        <w:t xml:space="preserve"> на 2024 год прогнозируется увеличение </w:t>
      </w:r>
      <w:r>
        <w:rPr>
          <w:sz w:val="24"/>
          <w:szCs w:val="24"/>
          <w:lang w:val="ru-RU"/>
        </w:rPr>
        <w:t>объёмов</w:t>
      </w:r>
      <w:r>
        <w:rPr>
          <w:sz w:val="24"/>
          <w:szCs w:val="24"/>
        </w:rPr>
        <w:t xml:space="preserve"> межбюджетных трансфертов в сумме 114245,9 тыс. руб., что больше прогноза запланированного бюджета МО «Ленский район» безвозмездных поступлений в бюджет МО «Урдомское» на 2024 год в сумме 4795,2 рублей. </w:t>
      </w:r>
      <w:r>
        <w:rPr>
          <w:bCs/>
          <w:sz w:val="24"/>
          <w:szCs w:val="24"/>
        </w:rPr>
        <w:t>Однако Б</w:t>
      </w:r>
      <w:r>
        <w:rPr>
          <w:sz w:val="24"/>
          <w:szCs w:val="24"/>
        </w:rPr>
        <w:t>юджетный кодекс РФ и законодательство Архангельской области исключают возможность планирования и перечисления межбюджетных трансфертов в виде дотаций на поддержку мер по обеспечению сбалансированности бюджетов поселений из бюджета субъекта и бюджета муниципального района.</w:t>
      </w:r>
    </w:p>
    <w:p>
      <w:pPr>
        <w:ind w:right="-6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областном проекте  бюджета на 2024 г. и плановый период 2025-2026 гг., а также в бюджете МО «Ленский муниципальный район» на 2024 г. не подтверждена дотация в сумме 114245,9 тыс. руб., запланированная в бюджете МО «Урдомское» на 2024 г.,  что свидетельствует о нарушении принципов сбалансированности и достоверности бюджета, а именно ст.ст. 28, 33 БК РФ. </w:t>
      </w:r>
    </w:p>
    <w:p>
      <w:pPr>
        <w:ind w:right="-63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Не поступление произвольно запланированной дотации не позволит МО «Урдомское» исполнить в полном </w:t>
      </w:r>
      <w:r>
        <w:rPr>
          <w:bCs/>
          <w:sz w:val="24"/>
          <w:szCs w:val="24"/>
          <w:lang w:val="ru-RU"/>
        </w:rPr>
        <w:t>объёме</w:t>
      </w:r>
      <w:r>
        <w:rPr>
          <w:bCs/>
          <w:sz w:val="24"/>
          <w:szCs w:val="24"/>
        </w:rPr>
        <w:t xml:space="preserve"> свои расходные обязательства, </w:t>
      </w:r>
      <w:r>
        <w:rPr>
          <w:bCs/>
          <w:sz w:val="24"/>
          <w:szCs w:val="24"/>
          <w:lang w:val="ru-RU"/>
        </w:rPr>
        <w:t>отражённые</w:t>
      </w:r>
      <w:r>
        <w:rPr>
          <w:bCs/>
          <w:sz w:val="24"/>
          <w:szCs w:val="24"/>
        </w:rPr>
        <w:t xml:space="preserve"> в приложениях 2, 4, 5, 6 Решения о бюджете поселения.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течение года в ходе исполнения бюджета, как правило, объем финансовой помощи из областного бюджета корректируется в сторону увеличения. В большей степени это касается субсидий, субвенций. 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eastAsia="TimesNewRomanPSMT"/>
          <w:sz w:val="24"/>
          <w:szCs w:val="24"/>
          <w:lang w:eastAsia="en-US"/>
        </w:rPr>
        <w:t xml:space="preserve">Сопоставление показателей, предлагаемых проектом решения о  бюджете на 2024 год, ожидаемые показатели за 2023 год, в части финансовой помощи из областного бюджета, а также фактическое поступление за 2021 – 2022 годы, </w:t>
      </w:r>
      <w:r>
        <w:rPr>
          <w:sz w:val="24"/>
          <w:szCs w:val="24"/>
        </w:rPr>
        <w:t>приведено в таблице:</w:t>
      </w:r>
    </w:p>
    <w:p>
      <w:pPr>
        <w:tabs>
          <w:tab w:val="left" w:pos="13720"/>
        </w:tabs>
        <w:jc w:val="right"/>
      </w:pPr>
      <w:r>
        <w:t xml:space="preserve">                    тыс. руб.</w:t>
      </w:r>
    </w:p>
    <w:tbl>
      <w:tblPr>
        <w:tblStyle w:val="7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1590"/>
        <w:gridCol w:w="1590"/>
        <w:gridCol w:w="159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30" w:type="dxa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590" w:type="dxa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</w:t>
            </w:r>
            <w:r>
              <w:rPr>
                <w:sz w:val="16"/>
                <w:szCs w:val="16"/>
              </w:rPr>
              <w:t xml:space="preserve">                 (исполнено)</w:t>
            </w:r>
          </w:p>
        </w:tc>
        <w:tc>
          <w:tcPr>
            <w:tcW w:w="1590" w:type="dxa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 год</w:t>
            </w:r>
            <w:r>
              <w:rPr>
                <w:sz w:val="16"/>
                <w:szCs w:val="16"/>
              </w:rPr>
              <w:t xml:space="preserve">                 (исполнено)</w:t>
            </w:r>
          </w:p>
        </w:tc>
        <w:tc>
          <w:tcPr>
            <w:tcW w:w="1590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(ожидаемое исполнение)</w:t>
            </w:r>
          </w:p>
        </w:tc>
        <w:tc>
          <w:tcPr>
            <w:tcW w:w="1595" w:type="dxa"/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(проект)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530" w:type="dxa"/>
          </w:tcPr>
          <w:p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-</w:t>
            </w:r>
            <w:r>
              <w:rPr>
                <w:b/>
                <w:bCs/>
                <w:iCs/>
                <w:sz w:val="16"/>
                <w:szCs w:val="16"/>
              </w:rPr>
              <w:t xml:space="preserve"> всего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5657,7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2568,6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33490,7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119041,1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1385,4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13692,2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115673,6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Дотация на выравнивание бюджетной обеспеченности 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1385,4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13692,2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115673,6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3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3658,2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17762,3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3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533,5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536,2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53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    ТРАНСФЕРТЫ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1426,6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1370,6</w:t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Всего на 2024 год объем </w:t>
      </w:r>
      <w:r>
        <w:rPr>
          <w:sz w:val="24"/>
          <w:szCs w:val="24"/>
          <w:u w:val="single"/>
        </w:rPr>
        <w:t>дотаций</w:t>
      </w:r>
      <w:r>
        <w:rPr>
          <w:sz w:val="24"/>
          <w:szCs w:val="24"/>
        </w:rPr>
        <w:t xml:space="preserve"> в муниципальный бюджет из районного бюджета, за </w:t>
      </w:r>
      <w:r>
        <w:rPr>
          <w:sz w:val="24"/>
          <w:szCs w:val="24"/>
          <w:lang w:val="ru-RU"/>
        </w:rPr>
        <w:t>счёт</w:t>
      </w:r>
      <w:r>
        <w:rPr>
          <w:sz w:val="24"/>
          <w:szCs w:val="24"/>
        </w:rPr>
        <w:t xml:space="preserve"> средств областного бюджета 844,8 % к параметрам, </w:t>
      </w:r>
      <w:r>
        <w:rPr>
          <w:sz w:val="24"/>
          <w:szCs w:val="24"/>
          <w:lang w:val="ru-RU"/>
        </w:rPr>
        <w:t>утверждённым</w:t>
      </w:r>
      <w:r>
        <w:rPr>
          <w:sz w:val="24"/>
          <w:szCs w:val="24"/>
        </w:rPr>
        <w:t xml:space="preserve"> в муниципальном бюджете на 2023 год. Удельный вес дотаций в составе безвозмездных поступлений за </w:t>
      </w:r>
      <w:r>
        <w:rPr>
          <w:sz w:val="24"/>
          <w:szCs w:val="24"/>
          <w:lang w:val="ru-RU"/>
        </w:rPr>
        <w:t>счёт</w:t>
      </w:r>
      <w:r>
        <w:rPr>
          <w:sz w:val="24"/>
          <w:szCs w:val="24"/>
        </w:rPr>
        <w:t xml:space="preserve"> средств областного бюджета, объем которых на 2024 год предусматривается в сумме 115673,6 тыс. руб., в том числе:</w:t>
      </w:r>
    </w:p>
    <w:p>
      <w:pPr>
        <w:widowControl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sz w:val="24"/>
          <w:szCs w:val="24"/>
        </w:rPr>
        <w:t>- дотации на выравнивание бюджетной обеспеченности – 115673,6 тыс. руб.</w:t>
      </w:r>
    </w:p>
    <w:p>
      <w:pPr>
        <w:widowControl w:val="0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 xml:space="preserve">               </w:t>
      </w:r>
      <w:r>
        <w:rPr>
          <w:rFonts w:eastAsia="TimesNewRomanPSMT"/>
          <w:sz w:val="24"/>
          <w:szCs w:val="24"/>
          <w:u w:val="single"/>
          <w:lang w:eastAsia="en-US"/>
        </w:rPr>
        <w:t>Субсидии</w:t>
      </w:r>
      <w:r>
        <w:rPr>
          <w:rFonts w:eastAsia="TimesNewRomanPSMT"/>
          <w:sz w:val="24"/>
          <w:szCs w:val="24"/>
          <w:lang w:eastAsia="en-US"/>
        </w:rPr>
        <w:t xml:space="preserve"> из муниципального бюджета, за </w:t>
      </w:r>
      <w:r>
        <w:rPr>
          <w:rFonts w:eastAsia="TimesNewRomanPSMT"/>
          <w:sz w:val="24"/>
          <w:szCs w:val="24"/>
          <w:lang w:val="ru-RU" w:eastAsia="en-US"/>
        </w:rPr>
        <w:t>счёт</w:t>
      </w:r>
      <w:r>
        <w:rPr>
          <w:rFonts w:eastAsia="TimesNewRomanPSMT"/>
          <w:sz w:val="24"/>
          <w:szCs w:val="24"/>
          <w:lang w:eastAsia="en-US"/>
        </w:rPr>
        <w:t xml:space="preserve"> средств областного бюджета на 2024 год предусматриваются в общей сумме 1338,2 тыс. руб., у</w:t>
      </w:r>
      <w:r>
        <w:rPr>
          <w:sz w:val="24"/>
          <w:szCs w:val="24"/>
        </w:rPr>
        <w:t>дельный вес субсидий в составе безвозмездных поступлений из областного бюджета составляет 1,1 %.</w:t>
      </w: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rFonts w:eastAsia="TimesNewRomanPSMT"/>
          <w:sz w:val="24"/>
          <w:szCs w:val="24"/>
          <w:lang w:eastAsia="en-US"/>
        </w:rPr>
        <w:t xml:space="preserve"> В ходе исполнения бюджета в текущих периодах, суммы субсидий </w:t>
      </w:r>
      <w:r>
        <w:rPr>
          <w:color w:val="000000"/>
          <w:sz w:val="24"/>
          <w:szCs w:val="24"/>
          <w:shd w:val="clear" w:color="auto" w:fill="FFFFFF"/>
        </w:rPr>
        <w:t>предоставляемых в целях софинансирования расходных обязательств муниципального бюджета</w:t>
      </w:r>
      <w:r>
        <w:rPr>
          <w:rFonts w:eastAsia="TimesNewRomanPSMT"/>
          <w:sz w:val="24"/>
          <w:szCs w:val="24"/>
          <w:lang w:eastAsia="en-US"/>
        </w:rPr>
        <w:t xml:space="preserve"> за </w:t>
      </w:r>
      <w:r>
        <w:rPr>
          <w:rFonts w:eastAsia="TimesNewRomanPSMT"/>
          <w:sz w:val="24"/>
          <w:szCs w:val="24"/>
          <w:lang w:val="ru-RU" w:eastAsia="en-US"/>
        </w:rPr>
        <w:t>счёт</w:t>
      </w:r>
      <w:r>
        <w:rPr>
          <w:rFonts w:eastAsia="TimesNewRomanPSMT"/>
          <w:sz w:val="24"/>
          <w:szCs w:val="24"/>
          <w:lang w:eastAsia="en-US"/>
        </w:rPr>
        <w:t xml:space="preserve"> средств областного бюджета уточнятся и распределяются.</w:t>
      </w:r>
    </w:p>
    <w:p>
      <w:pPr>
        <w:pStyle w:val="3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>Субвенции</w:t>
      </w:r>
      <w:r>
        <w:rPr>
          <w:rFonts w:ascii="Times New Roman" w:hAnsi="Times New Roman"/>
          <w:sz w:val="24"/>
          <w:szCs w:val="24"/>
        </w:rPr>
        <w:t xml:space="preserve"> на 2024 год из муниципального бюджета, за </w:t>
      </w:r>
      <w:r>
        <w:rPr>
          <w:rFonts w:ascii="Times New Roman" w:hAnsi="Times New Roman"/>
          <w:sz w:val="24"/>
          <w:szCs w:val="24"/>
          <w:lang w:val="ru-RU"/>
        </w:rPr>
        <w:t>счёт</w:t>
      </w:r>
      <w:r>
        <w:rPr>
          <w:rFonts w:ascii="Times New Roman" w:hAnsi="Times New Roman"/>
          <w:sz w:val="24"/>
          <w:szCs w:val="24"/>
        </w:rPr>
        <w:t xml:space="preserve"> средств областного бюджета проектом Реше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ния предусматриваются в общей сумме 658,7 тыс. руб. Удельный вес субвенций в составе безвозмездных поступлений из областного бюджета составляет 0,5%. </w:t>
      </w:r>
    </w:p>
    <w:p>
      <w:pPr>
        <w:pStyle w:val="37"/>
        <w:spacing w:after="0" w:line="240" w:lineRule="auto"/>
        <w:ind w:left="0"/>
        <w:jc w:val="both"/>
        <w:rPr>
          <w:rFonts w:ascii="Times New Roman" w:hAnsi="Times New Roman" w:eastAsia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Объем субвенций на 2024 год </w:t>
      </w:r>
      <w:r>
        <w:rPr>
          <w:rFonts w:ascii="Times New Roman" w:hAnsi="Times New Roman" w:eastAsia="TimesNewRomanPSMT"/>
          <w:sz w:val="24"/>
          <w:szCs w:val="24"/>
        </w:rPr>
        <w:t>предусмотрены с увеличением  на 49,1тыс. рублей или 8,5% .Распределение субвенций в проекте Решения о бюджете на 2024 год отражены в таблице.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i/>
          <w:sz w:val="24"/>
          <w:szCs w:val="24"/>
          <w:lang w:eastAsia="en-US"/>
        </w:rPr>
        <w:t xml:space="preserve">         </w:t>
      </w:r>
      <w:r>
        <w:rPr>
          <w:rFonts w:eastAsia="TimesNewRomanPSMT"/>
          <w:sz w:val="24"/>
          <w:szCs w:val="24"/>
          <w:lang w:eastAsia="en-US"/>
        </w:rPr>
        <w:t>В ходе исполнения бюджета в текущих периодах, суммы субвенций на выполнение переданных полномочий из областного бюджета уточнятся и распределяются.</w:t>
      </w:r>
    </w:p>
    <w:p>
      <w:pPr>
        <w:pStyle w:val="3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Расходы муниципального бюджета.</w:t>
      </w:r>
    </w:p>
    <w:p>
      <w:pPr>
        <w:pStyle w:val="53"/>
        <w:widowControl/>
        <w:spacing w:before="14" w:line="240" w:lineRule="auto"/>
        <w:ind w:firstLine="716"/>
        <w:rPr>
          <w:rStyle w:val="54"/>
          <w:i/>
          <w:color w:val="000000"/>
          <w:sz w:val="24"/>
          <w:szCs w:val="24"/>
        </w:rPr>
      </w:pPr>
      <w:r>
        <w:rPr>
          <w:rStyle w:val="54"/>
          <w:color w:val="000000"/>
          <w:sz w:val="24"/>
          <w:szCs w:val="24"/>
        </w:rPr>
        <w:t>Политика расходования бюджетных средств в МО «Урдомское» в 2024 году должна быть нацелена на обеспечение решения приоритетных задач социально-экономического развития, предусмотренных Указом Президента Российской Федерации от 07 мая 2018 года № 204 «О национальных целях и задачах</w:t>
      </w:r>
      <w:r>
        <w:rPr>
          <w:rStyle w:val="54"/>
          <w:i/>
          <w:color w:val="000000"/>
          <w:sz w:val="24"/>
          <w:szCs w:val="24"/>
        </w:rPr>
        <w:t xml:space="preserve"> </w:t>
      </w:r>
      <w:r>
        <w:rPr>
          <w:rStyle w:val="54"/>
          <w:color w:val="000000"/>
          <w:sz w:val="24"/>
          <w:szCs w:val="24"/>
        </w:rPr>
        <w:t>развития Российской Федерации на период до 2024 года» и программными документами.</w:t>
      </w:r>
      <w:r>
        <w:rPr>
          <w:rStyle w:val="54"/>
          <w:i/>
          <w:color w:val="000000"/>
          <w:sz w:val="24"/>
          <w:szCs w:val="24"/>
        </w:rPr>
        <w:t xml:space="preserve"> </w:t>
      </w:r>
    </w:p>
    <w:p>
      <w:pPr>
        <w:pStyle w:val="53"/>
        <w:widowControl/>
        <w:spacing w:before="14" w:line="240" w:lineRule="auto"/>
        <w:ind w:firstLine="716"/>
        <w:rPr>
          <w:rStyle w:val="56"/>
          <w:color w:val="000000"/>
          <w:sz w:val="24"/>
          <w:szCs w:val="24"/>
        </w:rPr>
      </w:pPr>
      <w:r>
        <w:rPr>
          <w:rStyle w:val="56"/>
          <w:color w:val="000000"/>
          <w:sz w:val="24"/>
          <w:szCs w:val="24"/>
        </w:rPr>
        <w:t xml:space="preserve">Планирование и расходование бюджетных ассигнований должно осуществляться с учетом сохранения преемственности </w:t>
      </w:r>
      <w:r>
        <w:rPr>
          <w:rStyle w:val="56"/>
          <w:color w:val="000000"/>
          <w:sz w:val="24"/>
          <w:szCs w:val="24"/>
          <w:lang w:val="ru-RU"/>
        </w:rPr>
        <w:t>определённых</w:t>
      </w:r>
      <w:r>
        <w:rPr>
          <w:rStyle w:val="56"/>
          <w:color w:val="000000"/>
          <w:sz w:val="24"/>
          <w:szCs w:val="24"/>
        </w:rPr>
        <w:t xml:space="preserve"> ранее приоритетов и их достижений и направлено на:</w:t>
      </w:r>
    </w:p>
    <w:p>
      <w:pPr>
        <w:pStyle w:val="53"/>
        <w:widowControl/>
        <w:spacing w:before="14" w:line="240" w:lineRule="auto"/>
        <w:ind w:firstLine="716"/>
        <w:rPr>
          <w:rStyle w:val="56"/>
          <w:color w:val="000000"/>
          <w:sz w:val="24"/>
          <w:szCs w:val="24"/>
        </w:rPr>
      </w:pPr>
      <w:r>
        <w:rPr>
          <w:rStyle w:val="56"/>
          <w:color w:val="000000"/>
          <w:sz w:val="24"/>
          <w:szCs w:val="24"/>
        </w:rPr>
        <w:t>приведение уровня бюджетных расходов в соответствие с новыми реалиями, оптимизацией структуры бюджетных расходов в целях мобилизации ресурсов на приоритетные направления;</w:t>
      </w:r>
    </w:p>
    <w:p>
      <w:pPr>
        <w:ind w:firstLine="709"/>
        <w:jc w:val="both"/>
        <w:rPr>
          <w:rStyle w:val="30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br w:type="textWrapping"/>
      </w: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и социальным выплатам, а также по налогам и сборам в бюджетную систему Российской Федерации;</w:t>
      </w:r>
    </w:p>
    <w:p>
      <w:pPr>
        <w:ind w:firstLine="709"/>
        <w:jc w:val="both"/>
        <w:rPr>
          <w:rStyle w:val="30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обеспечение соотношения, уровня оплаты труда отдельных категорий работников согласно Указам Президента Российской Федерации от 2012 года;</w:t>
      </w:r>
    </w:p>
    <w:p>
      <w:pPr>
        <w:ind w:firstLine="709"/>
        <w:jc w:val="both"/>
        <w:rPr>
          <w:rStyle w:val="30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>
      <w:pPr>
        <w:ind w:firstLine="709"/>
        <w:jc w:val="both"/>
        <w:rPr>
          <w:b/>
          <w:snapToGrid w:val="0"/>
          <w:color w:val="000000"/>
          <w:sz w:val="24"/>
          <w:szCs w:val="24"/>
        </w:rPr>
      </w:pP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соблюдение режима экономии электро</w:t>
      </w:r>
      <w:r>
        <w:rPr>
          <w:rStyle w:val="30"/>
          <w:rFonts w:hint="defaul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-</w:t>
      </w:r>
      <w:r>
        <w:rPr>
          <w:rStyle w:val="30"/>
          <w:rFonts w:hint="defaul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теплоэнергии, расходных материалов, горюче</w:t>
      </w:r>
      <w:r>
        <w:rPr>
          <w:rStyle w:val="30"/>
          <w:rFonts w:hint="defaul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-</w:t>
      </w:r>
      <w:r>
        <w:rPr>
          <w:rStyle w:val="30"/>
          <w:rFonts w:hint="defaul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30"/>
          <w:rFonts w:ascii="Times New Roman" w:hAnsi="Times New Roman"/>
          <w:b w:val="0"/>
          <w:color w:val="000000"/>
          <w:sz w:val="24"/>
          <w:szCs w:val="24"/>
        </w:rPr>
        <w:t>смазочных материалов, услуг связи;</w:t>
      </w:r>
    </w:p>
    <w:p>
      <w:pPr>
        <w:pStyle w:val="53"/>
        <w:widowControl/>
        <w:spacing w:before="14" w:line="240" w:lineRule="auto"/>
        <w:ind w:firstLine="716"/>
        <w:rPr>
          <w:color w:val="000000"/>
        </w:rPr>
      </w:pPr>
      <w:r>
        <w:rPr>
          <w:color w:val="000000"/>
        </w:rPr>
        <w:t xml:space="preserve">использование механизмов муниципальное - частного </w:t>
      </w:r>
      <w:r>
        <w:rPr>
          <w:color w:val="000000"/>
          <w:lang w:val="ru-RU"/>
        </w:rPr>
        <w:t>партнёрства</w:t>
      </w:r>
      <w:r>
        <w:rPr>
          <w:color w:val="000000"/>
        </w:rPr>
        <w:t xml:space="preserve"> для </w:t>
      </w:r>
      <w:r>
        <w:rPr>
          <w:color w:val="000000"/>
          <w:spacing w:val="-10"/>
        </w:rPr>
        <w:t>привлечения инвестиций в социальную сферу, энергетику, жилищно-коммунальное</w:t>
      </w:r>
      <w:r>
        <w:rPr>
          <w:color w:val="000000"/>
        </w:rPr>
        <w:t xml:space="preserve"> хозяйство, дорожное строительство.</w:t>
      </w:r>
    </w:p>
    <w:p>
      <w:pPr>
        <w:pStyle w:val="53"/>
        <w:widowControl/>
        <w:spacing w:before="14" w:line="240" w:lineRule="auto"/>
        <w:ind w:firstLine="716"/>
      </w:pPr>
      <w:r>
        <w:t>Порядок</w:t>
      </w:r>
      <w:r>
        <w:rPr>
          <w:i/>
        </w:rPr>
        <w:t xml:space="preserve"> </w:t>
      </w:r>
      <w:r>
        <w:t xml:space="preserve">и методика планирования бюджетных ассигнований при составлении проекта бюджета МО «Урдомское», </w:t>
      </w:r>
      <w:r>
        <w:rPr>
          <w:lang w:val="ru-RU"/>
        </w:rPr>
        <w:t>утверждён</w:t>
      </w:r>
      <w:r>
        <w:t xml:space="preserve"> распоряжением Главы МО «Урдомское» 10.04.2009 №76. </w:t>
      </w:r>
    </w:p>
    <w:p>
      <w:pPr>
        <w:pStyle w:val="53"/>
        <w:widowControl/>
        <w:spacing w:before="14" w:line="240" w:lineRule="auto"/>
        <w:ind w:firstLine="716"/>
      </w:pPr>
      <w:r>
        <w:t>КСК обращает внимание, что в пояснительной записке к проекту Решения «О муниципальном бюджете МО «Урдомское» на 2024 год» не отражены особенности планирования бюджетных ассигнований при составлении проекта Решения.</w:t>
      </w:r>
    </w:p>
    <w:p>
      <w:pPr>
        <w:pStyle w:val="53"/>
        <w:widowControl/>
        <w:spacing w:before="14" w:line="240" w:lineRule="auto"/>
        <w:ind w:firstLine="716"/>
      </w:pPr>
      <w:r>
        <w:t xml:space="preserve">Расходы бюджета МО «Урдомское» на 2024 год сформированы в </w:t>
      </w:r>
      <w:r>
        <w:rPr>
          <w:lang w:val="ru-RU"/>
        </w:rPr>
        <w:t>объёме</w:t>
      </w:r>
      <w:r>
        <w:t xml:space="preserve"> </w:t>
      </w:r>
      <w:r>
        <w:rPr>
          <w:b/>
        </w:rPr>
        <w:t>148599,1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</w:rPr>
        <w:t>тыс. рублей</w:t>
      </w:r>
      <w:r>
        <w:t xml:space="preserve">. </w:t>
      </w:r>
    </w:p>
    <w:p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В рамках расходов бюджета учтены не обоснованные средства областного бюджета, не </w:t>
      </w:r>
      <w:r>
        <w:rPr>
          <w:sz w:val="24"/>
          <w:szCs w:val="24"/>
          <w:lang w:val="ru-RU"/>
        </w:rPr>
        <w:t>определённые</w:t>
      </w:r>
      <w:r>
        <w:rPr>
          <w:sz w:val="24"/>
          <w:szCs w:val="24"/>
        </w:rPr>
        <w:t xml:space="preserve"> проектом областного Закона «</w:t>
      </w:r>
      <w:r>
        <w:rPr>
          <w:bCs/>
          <w:sz w:val="24"/>
          <w:szCs w:val="24"/>
        </w:rPr>
        <w:t xml:space="preserve">Об областном бюджете на 2024 год и на плановый период 2025 и 2026 годов» в виде дотации, с завышением расходной базой на 114245,9 тыс. рублей. </w:t>
      </w:r>
    </w:p>
    <w:p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Анализ проекта расходной части бюджета МО «Урдомское» на 2024 год, Контрольно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-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сч</w:t>
      </w:r>
      <w:r>
        <w:rPr>
          <w:bCs/>
          <w:sz w:val="24"/>
          <w:szCs w:val="24"/>
          <w:lang w:val="ru-RU"/>
        </w:rPr>
        <w:t>ё</w:t>
      </w:r>
      <w:r>
        <w:rPr>
          <w:bCs/>
          <w:sz w:val="24"/>
          <w:szCs w:val="24"/>
        </w:rPr>
        <w:t>тная комиссия МО «Ленский муниципальный район» не представляет возможным, в связи с завышенными показателями доходной и расходной части бюджета на сумму 114245,9 тыс. рублей.</w:t>
      </w:r>
    </w:p>
    <w:p>
      <w:pPr>
        <w:jc w:val="both"/>
        <w:rPr>
          <w:bCs/>
          <w:sz w:val="24"/>
          <w:szCs w:val="24"/>
        </w:rPr>
      </w:pPr>
    </w:p>
    <w:p>
      <w:pPr>
        <w:jc w:val="both"/>
      </w:pPr>
      <w:r>
        <w:rPr>
          <w:bCs/>
          <w:sz w:val="24"/>
          <w:szCs w:val="24"/>
        </w:rPr>
        <w:t xml:space="preserve">    </w:t>
      </w:r>
      <w:r>
        <w:t xml:space="preserve">                  </w:t>
      </w:r>
      <w:r>
        <w:rPr>
          <w:b/>
          <w:sz w:val="24"/>
          <w:szCs w:val="24"/>
        </w:rPr>
        <w:t>Выводы и предложения контрольно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 xml:space="preserve"> счётной</w:t>
      </w:r>
      <w:r>
        <w:rPr>
          <w:b/>
          <w:sz w:val="24"/>
          <w:szCs w:val="24"/>
        </w:rPr>
        <w:t xml:space="preserve"> комиссии</w:t>
      </w:r>
    </w:p>
    <w:p>
      <w:pPr>
        <w:pStyle w:val="3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72F"/>
          <w:sz w:val="24"/>
          <w:szCs w:val="24"/>
        </w:rPr>
        <w:t>1.</w:t>
      </w:r>
      <w:r>
        <w:rPr>
          <w:rFonts w:ascii="Times New Roman" w:hAnsi="Times New Roman"/>
          <w:color w:val="22272F"/>
          <w:sz w:val="24"/>
          <w:szCs w:val="24"/>
        </w:rPr>
        <w:t xml:space="preserve"> Проектом Решения </w:t>
      </w:r>
      <w:r>
        <w:rPr>
          <w:rFonts w:ascii="Times New Roman" w:hAnsi="Times New Roman"/>
          <w:sz w:val="24"/>
          <w:szCs w:val="24"/>
        </w:rPr>
        <w:t xml:space="preserve">  предлагается утвердить прогнозные показатели: </w:t>
      </w:r>
    </w:p>
    <w:p>
      <w:pPr>
        <w:pStyle w:val="3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доходам в сумме 148599,1тыс. руб., </w:t>
      </w:r>
    </w:p>
    <w:p>
      <w:pPr>
        <w:pStyle w:val="3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расходам в сумме 148599,9 тыс. руб., </w:t>
      </w:r>
    </w:p>
    <w:p>
      <w:pPr>
        <w:pStyle w:val="3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дефицит бюджета в сумме 0,0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>
      <w:pPr>
        <w:pStyle w:val="6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Источником покрытия дефицита бюджета МО «Урдомское» на 2024 год прогнозируется без изменения остатков средств на счетах  бюджета по состоянию на 01.01.2024 года.</w:t>
      </w:r>
    </w:p>
    <w:p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По результатам </w:t>
      </w:r>
      <w:r>
        <w:rPr>
          <w:sz w:val="24"/>
          <w:szCs w:val="24"/>
          <w:lang w:val="ru-RU"/>
        </w:rPr>
        <w:t>проведённой</w:t>
      </w:r>
      <w:r>
        <w:rPr>
          <w:sz w:val="24"/>
          <w:szCs w:val="24"/>
        </w:rPr>
        <w:t xml:space="preserve"> экспертизы проекта Решения 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счётной</w:t>
      </w:r>
      <w:r>
        <w:rPr>
          <w:sz w:val="24"/>
          <w:szCs w:val="24"/>
        </w:rPr>
        <w:t xml:space="preserve"> комиссией МО «Ленский муниципальный район» установлено: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2.1. Администрация МО «Урдомское»  при </w:t>
      </w:r>
      <w:r>
        <w:rPr>
          <w:color w:val="000000"/>
          <w:sz w:val="24"/>
          <w:szCs w:val="24"/>
        </w:rPr>
        <w:t xml:space="preserve">составлении проекта бюджета на очередной финансовый год  (2024 год) допустила нарушение </w:t>
      </w:r>
      <w:r>
        <w:rPr>
          <w:sz w:val="24"/>
          <w:szCs w:val="24"/>
        </w:rPr>
        <w:t>статей 28,33,37,107, 160.1, 174, 174.1, 184.1, 184.2 БК РФ</w:t>
      </w:r>
      <w:r>
        <w:rPr>
          <w:color w:val="000000"/>
          <w:sz w:val="24"/>
          <w:szCs w:val="24"/>
        </w:rPr>
        <w:t xml:space="preserve"> и как следствие с</w:t>
      </w:r>
      <w:r>
        <w:rPr>
          <w:sz w:val="24"/>
          <w:szCs w:val="24"/>
        </w:rPr>
        <w:t>татьи 18,19 Положения о бюджетном процессе МО «Урдомское».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 В нарушение ст.184.2 БК РФ, ст.19 Положения о бюджетном процессе к проекту Решения не представлены: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предварительные итоги социально-экономического развития МО «Урдомское»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 (ст.184.2 БК РФ, ст.19 Положения о бюджетном процессе);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Не представлен Прогноз социально-экономического развития МО «Урдомское» на 2024 год и плановый период 2025 и 2026 годов.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реестры источников доходов бюджетов бюджетной системы Российской Федерации (ст.184.2 БК РФ, в ст.19 Положения о бюджетном процессе  такой документ не предусмотрен);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основные направления бюджетной политики МО «Урдомское» и основные направления налоговой политики МО «Урдомское»;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предварительные итоги социально-экономического развития МО «Урдомское» МО «Урдомское» и ожидаемые итоги социально-экономического развития МО «Урдомское» за текущий финансовый год;</w:t>
      </w:r>
    </w:p>
    <w:p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Обращаем внимание на состав приложений к проекту Решения. Статьей 18 Положения о бюджетном процессе (в редакции от 17.12.2020 № 47-А) предусмотрен к утверждению перечень главных администраторов доходов бюджета.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r>
        <w:rPr>
          <w:sz w:val="24"/>
          <w:szCs w:val="24"/>
          <w:lang w:val="ru-RU"/>
        </w:rPr>
        <w:t>статьёй</w:t>
      </w:r>
      <w:r>
        <w:rPr>
          <w:sz w:val="24"/>
          <w:szCs w:val="24"/>
        </w:rPr>
        <w:t xml:space="preserve"> 160.1 БК РФ 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Положения пунктов 3.1 и 3.2 статьи 160.1 (в редакции Федерального закона от 01.07.2021 N 251-ФЗ) применяются к правоотношениям, возникающим при составлении и исполнении бюджетов бюджетной системы РФ, начиная с бюджетов на 2023 год и на плановый период 2024 и 2025 годов (на 2022 год) (</w:t>
      </w:r>
      <w:r>
        <w:fldChar w:fldCharType="begin"/>
      </w:r>
      <w:r>
        <w:instrText xml:space="preserve"> HYPERLINK "https://normativ.kontur.ru/document?moduleId=1&amp;documentId=395070" \l "l37" \t "_blank" </w:instrText>
      </w:r>
      <w:r>
        <w:fldChar w:fldCharType="separate"/>
      </w:r>
      <w:r>
        <w:rPr>
          <w:rStyle w:val="10"/>
          <w:color w:val="auto"/>
          <w:sz w:val="24"/>
          <w:szCs w:val="24"/>
          <w:u w:val="none"/>
        </w:rPr>
        <w:t>часть 3</w:t>
      </w:r>
      <w:r>
        <w:rPr>
          <w:rStyle w:val="10"/>
          <w:color w:val="auto"/>
          <w:sz w:val="24"/>
          <w:szCs w:val="24"/>
          <w:u w:val="none"/>
        </w:rPr>
        <w:fldChar w:fldCharType="end"/>
      </w:r>
      <w:r>
        <w:rPr>
          <w:sz w:val="24"/>
          <w:szCs w:val="24"/>
        </w:rPr>
        <w:t> статьи 2 Федерального закона от 01.07.2021 N 251-ФЗ).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главных администраторов доходов бюджета в составе приложений к проекту Решения о бюджете отсутствует. В пояснительной записке отсутствует информация о причинах исключения из состава приложений перечня главных администраторов доходов бюджета.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приложение к решению о бюджете,  которым утверждается объем межбюджетных трансфертов, получаемых из других бюджетов и предоставляемых бюджетам поселений в очередном финансовом году. В составе  приложений к решению о бюджете такое приложение отсутствует. Рекомендуем рассмотреть актуальность такого приложения.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 </w:t>
      </w:r>
      <w:r>
        <w:rPr>
          <w:sz w:val="24"/>
          <w:szCs w:val="24"/>
          <w:lang w:val="ru-RU"/>
        </w:rPr>
        <w:t>Расчёты</w:t>
      </w:r>
      <w:r>
        <w:rPr>
          <w:sz w:val="24"/>
          <w:szCs w:val="24"/>
        </w:rPr>
        <w:t xml:space="preserve"> прогноза налоговых и неналоговых доходов на очередной финансовый год производятся с нарушениями </w:t>
      </w:r>
      <w:r>
        <w:rPr>
          <w:rFonts w:eastAsia="TimesNewRomanPSMT"/>
          <w:sz w:val="24"/>
          <w:szCs w:val="24"/>
        </w:rPr>
        <w:t xml:space="preserve">Методики прогнозирования поступлений доходов  в бюджет «Урдомское», </w:t>
      </w:r>
      <w:r>
        <w:rPr>
          <w:rFonts w:eastAsia="TimesNewRomanPSMT"/>
          <w:sz w:val="24"/>
          <w:szCs w:val="24"/>
          <w:lang w:val="ru-RU"/>
        </w:rPr>
        <w:t>утверждённой</w:t>
      </w:r>
      <w:r>
        <w:rPr>
          <w:rFonts w:eastAsia="TimesNewRomanPSMT"/>
          <w:sz w:val="24"/>
          <w:szCs w:val="24"/>
        </w:rPr>
        <w:t xml:space="preserve"> постановлением Администрации МО «Урдомское» от 19.08.2016 № 56.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Допущено нарушение планирования доходной части бюджета БК статей 28, 33,36,37 в отношении безвозмездных поступлений от других бюджетов бюджетной системы. </w:t>
      </w:r>
    </w:p>
    <w:p>
      <w:pPr>
        <w:tabs>
          <w:tab w:val="left" w:pos="7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КСК рекомендует привести поступление налога на доходы физических лиц в соответствии с нормами проекта областного закона об областном  бюджете Архангельской области на 2024 год и на плановый период 2025 и 2026 годов.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пояснительной записке к проекту Решения  КСК рекомендует отобразить методику </w:t>
      </w:r>
      <w:r>
        <w:rPr>
          <w:sz w:val="24"/>
          <w:szCs w:val="24"/>
          <w:lang w:val="ru-RU"/>
        </w:rPr>
        <w:t>расчёта</w:t>
      </w:r>
      <w:r>
        <w:rPr>
          <w:sz w:val="24"/>
          <w:szCs w:val="24"/>
        </w:rPr>
        <w:t xml:space="preserve"> контингента налога.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>Необходимо отметить, что в</w:t>
      </w:r>
      <w:r>
        <w:rPr>
          <w:sz w:val="24"/>
          <w:szCs w:val="24"/>
        </w:rPr>
        <w:t xml:space="preserve"> соответствии методикой прогнозирования поступлений доходов прогноз по налогу на доходы физических лиц не обоснован.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Объем переданных налоговых доходов должен исходить из принципа сбалансированности бюджетной системы, т.е. соответствовать разграничению расходных полномочий между местными бюджетами и решаемых органами местного самоуправления вопросов местного значения.</w:t>
      </w:r>
      <w:r>
        <w:rPr>
          <w:rFonts w:hint="eastAsia" w:ascii="TimesNewRomanPSMT" w:eastAsia="TimesNewRomanPSMT" w:cs="TimesNewRomanPSMT" w:hAnsiTheme="minorHAnsi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Не</w:t>
      </w:r>
      <w:r>
        <w:rPr>
          <w:rFonts w:eastAsiaTheme="minorHAnsi"/>
          <w:sz w:val="24"/>
          <w:szCs w:val="24"/>
          <w:lang w:eastAsia="en-US"/>
        </w:rPr>
        <w:t>сбалансированность</w:t>
      </w:r>
      <w:r>
        <w:rPr>
          <w:rFonts w:eastAsia="TimesNewRomanPSMT"/>
          <w:sz w:val="24"/>
          <w:szCs w:val="24"/>
          <w:lang w:eastAsia="en-US"/>
        </w:rPr>
        <w:t xml:space="preserve"> расчетов по налогу на доходы физических лиц  указывает на возможные риски не выполнения прогнозных показателей решения </w:t>
      </w:r>
      <w:r>
        <w:rPr>
          <w:rFonts w:eastAsiaTheme="minorHAnsi"/>
          <w:sz w:val="24"/>
          <w:szCs w:val="24"/>
          <w:lang w:eastAsia="en-US"/>
        </w:rPr>
        <w:t xml:space="preserve">вопросов местного значения. </w:t>
      </w:r>
    </w:p>
    <w:p>
      <w:pPr>
        <w:jc w:val="both"/>
        <w:rPr>
          <w:rFonts w:eastAsia="TimesNewRomanPSMT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2.5 КСК рекомендует</w:t>
      </w:r>
      <w:r>
        <w:rPr>
          <w:rFonts w:eastAsia="TimesNewRomanPSMT"/>
          <w:sz w:val="24"/>
          <w:szCs w:val="24"/>
          <w:lang w:eastAsia="en-US"/>
        </w:rPr>
        <w:t xml:space="preserve"> доходы от уплаты акцизов на нефтепродукты прогнозировать в  </w:t>
      </w:r>
      <w:r>
        <w:rPr>
          <w:sz w:val="24"/>
          <w:szCs w:val="24"/>
        </w:rPr>
        <w:t>соответствии нормами проекта Закона о бюджете Архангельской области на 2023 – 2025 годы</w:t>
      </w:r>
      <w:r>
        <w:rPr>
          <w:rFonts w:eastAsia="TimesNewRomanPSMT"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2.6 </w:t>
      </w:r>
      <w:r>
        <w:rPr>
          <w:sz w:val="24"/>
          <w:szCs w:val="24"/>
        </w:rPr>
        <w:t>КСК рекомендует</w:t>
      </w:r>
      <w:r>
        <w:rPr>
          <w:rFonts w:eastAsia="TimesNewRomanPSMT"/>
          <w:sz w:val="24"/>
          <w:szCs w:val="24"/>
          <w:lang w:eastAsia="en-US"/>
        </w:rPr>
        <w:t xml:space="preserve"> привести в соответствии с методикой прогнозирование поступления доходов в бюджет МО «Урдомское», </w:t>
      </w:r>
      <w:r>
        <w:rPr>
          <w:rFonts w:eastAsia="TimesNewRomanPSMT"/>
          <w:sz w:val="24"/>
          <w:szCs w:val="24"/>
          <w:lang w:val="ru-RU" w:eastAsia="en-US"/>
        </w:rPr>
        <w:t>утверждённая</w:t>
      </w:r>
      <w:r>
        <w:rPr>
          <w:rFonts w:eastAsia="TimesNewRomanPSMT"/>
          <w:sz w:val="24"/>
          <w:szCs w:val="24"/>
          <w:lang w:eastAsia="en-US"/>
        </w:rPr>
        <w:t xml:space="preserve">  постановлением администрации № 56 от 19.08.2016 года </w:t>
      </w:r>
      <w:r>
        <w:rPr>
          <w:rFonts w:eastAsia="TimesNewRomanPSMT"/>
          <w:sz w:val="24"/>
          <w:szCs w:val="24"/>
          <w:lang w:val="ru-RU" w:eastAsia="en-US"/>
        </w:rPr>
        <w:t>расчёт</w:t>
      </w:r>
      <w:r>
        <w:rPr>
          <w:rFonts w:eastAsia="TimesNewRomanPSMT"/>
          <w:sz w:val="24"/>
          <w:szCs w:val="24"/>
          <w:lang w:eastAsia="en-US"/>
        </w:rPr>
        <w:t xml:space="preserve"> прогнозирования поступления налога на имущество физических лиц</w:t>
      </w:r>
      <w:r>
        <w:rPr>
          <w:rFonts w:eastAsia="TimesNewRomanPSMT"/>
          <w:i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нарушена.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TimesNewRomanPSMT"/>
          <w:sz w:val="24"/>
          <w:szCs w:val="24"/>
          <w:lang w:eastAsia="en-US"/>
        </w:rPr>
        <w:t xml:space="preserve">2.7 </w:t>
      </w:r>
      <w:r>
        <w:rPr>
          <w:sz w:val="24"/>
          <w:szCs w:val="24"/>
        </w:rPr>
        <w:t>КСК рекомендует</w:t>
      </w:r>
      <w:r>
        <w:rPr>
          <w:rFonts w:eastAsia="TimesNewRomanPSMT"/>
          <w:sz w:val="24"/>
          <w:szCs w:val="24"/>
          <w:lang w:eastAsia="en-US"/>
        </w:rPr>
        <w:t xml:space="preserve"> привести поступление прочих расходов в</w:t>
      </w:r>
      <w:r>
        <w:rPr>
          <w:sz w:val="24"/>
          <w:szCs w:val="24"/>
        </w:rPr>
        <w:t xml:space="preserve"> соответствии  с разделом 3. методики прогнозирования поступлений доходов прогноз прочих поступлений от использования имущества.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 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счётная</w:t>
      </w:r>
      <w:r>
        <w:rPr>
          <w:sz w:val="24"/>
          <w:szCs w:val="24"/>
        </w:rPr>
        <w:t xml:space="preserve"> комиссия МО «Ленский муниципальный район» рекомендует: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Привести в соответствие с БК статей </w:t>
      </w:r>
      <w:r>
        <w:rPr>
          <w:rFonts w:ascii="Times New Roman" w:hAnsi="Times New Roman"/>
          <w:bCs/>
          <w:sz w:val="24"/>
          <w:szCs w:val="24"/>
        </w:rPr>
        <w:t>31, 33, 37, 138.4 и 142 Бюджетного кодекса РФ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утверждёнными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безвозмездными поступлениями из бюджета МО «Ленский районом» на 2024 год. до суммы 4795,2 тыс. руб.  в бюджет МО «Урдомское» в том числе;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-дотации на выравнивание бюджетной обеспеченности поселений (за счет средств областного бюджета -1427,8 тыс.руб.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-субсидия на софинансирование вопросов местного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значения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1338,2 тыс. руб.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-субвенция бюджетам МО на осуществление первичного воинского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учёта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органами местного самоуправления поселений, муниципальных и городских округов -553,7 тыс.руб.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-субвенция бюджетам МО на выполнение передаваемых полномочий субъекта РФ в сфере административных правонарушений (единая субвенция) – 105,0 тыс. рублей.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-иной межбюджетный трансферт бюджету поселения на софинансирование дорожной деятельности -1370,6 тыс.руб.</w:t>
      </w:r>
    </w:p>
    <w:p>
      <w:pPr>
        <w:spacing w:line="276" w:lineRule="auto"/>
        <w:ind w:right="-6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силу положений ст. 31 Бюджетного кодекса РФ установление расходных обязательств без определения бюджета, за </w:t>
      </w:r>
      <w:r>
        <w:rPr>
          <w:bCs/>
          <w:sz w:val="24"/>
          <w:szCs w:val="24"/>
          <w:lang w:val="ru-RU"/>
        </w:rPr>
        <w:t>счёт</w:t>
      </w:r>
      <w:r>
        <w:rPr>
          <w:bCs/>
          <w:sz w:val="24"/>
          <w:szCs w:val="24"/>
        </w:rPr>
        <w:t xml:space="preserve"> средств которого должно осуществляться исполнение расходных обязательств, бюджетным законодательством не допускается. В соответствии со ст. 33 Бюджетного кодекса РФ объем предусмотренных бюджетом расходов должен соответствовать суммарному </w:t>
      </w:r>
      <w:r>
        <w:rPr>
          <w:bCs/>
          <w:sz w:val="24"/>
          <w:szCs w:val="24"/>
          <w:lang w:val="ru-RU"/>
        </w:rPr>
        <w:t>объёму</w:t>
      </w:r>
      <w:r>
        <w:rPr>
          <w:bCs/>
          <w:sz w:val="24"/>
          <w:szCs w:val="24"/>
        </w:rPr>
        <w:t xml:space="preserve"> доходов бюджета и поступлению источников финансирования его дефицита. Статья 37 Бюджетного кодекса РФ устанавливает принцип достоверности бюджета. </w:t>
      </w:r>
    </w:p>
    <w:p>
      <w:pPr>
        <w:spacing w:line="276" w:lineRule="auto"/>
        <w:ind w:right="-63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этой связи отражение в бюджете поселения не </w:t>
      </w:r>
      <w:r>
        <w:rPr>
          <w:bCs/>
          <w:sz w:val="24"/>
          <w:szCs w:val="24"/>
          <w:lang w:val="ru-RU"/>
        </w:rPr>
        <w:t>подтверждённых</w:t>
      </w:r>
      <w:r>
        <w:rPr>
          <w:bCs/>
          <w:sz w:val="24"/>
          <w:szCs w:val="24"/>
        </w:rPr>
        <w:t xml:space="preserve"> источниками поступления доходов в сумме </w:t>
      </w:r>
      <w:r>
        <w:rPr>
          <w:sz w:val="24"/>
          <w:szCs w:val="24"/>
        </w:rPr>
        <w:t xml:space="preserve">114245,9 </w:t>
      </w:r>
      <w:r>
        <w:rPr>
          <w:bCs/>
          <w:sz w:val="24"/>
          <w:szCs w:val="24"/>
        </w:rPr>
        <w:t xml:space="preserve"> тыс. руб. противоречит требованиям бюджетного законодательства, а именно статьям 31, 33, 37, 138.4 и 142 Бюджетного кодекса РФ.</w:t>
      </w: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pStyle w:val="61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Предоставить в Совет депутатов МО «Урдомское» недостающие документы к проекту Решения согласно ст.184.2 БК РФ.</w:t>
      </w:r>
    </w:p>
    <w:p>
      <w:pPr>
        <w:pStyle w:val="6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 w:eastAsia="TimesNewRomanPSMT"/>
          <w:sz w:val="24"/>
          <w:szCs w:val="24"/>
        </w:rPr>
        <w:t>Привести в соответствии с бюджетным законодательством</w:t>
      </w:r>
      <w:r>
        <w:rPr>
          <w:rFonts w:ascii="Times New Roman" w:hAnsi="Times New Roman"/>
          <w:sz w:val="24"/>
          <w:szCs w:val="24"/>
        </w:rPr>
        <w:t xml:space="preserve"> Положение о бюджетном процессе МО «Урдомское» и нормативно - правовые акты по формированию  проекта бюджета на очередной финансовый год.</w:t>
      </w:r>
    </w:p>
    <w:p>
      <w:pPr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eastAsia="TimesNewRomanPSMT"/>
          <w:sz w:val="24"/>
          <w:szCs w:val="24"/>
        </w:rPr>
        <w:t xml:space="preserve">По результатам </w:t>
      </w:r>
      <w:r>
        <w:rPr>
          <w:rFonts w:eastAsia="TimesNewRomanPSMT"/>
          <w:sz w:val="24"/>
          <w:szCs w:val="24"/>
          <w:lang w:val="ru-RU"/>
        </w:rPr>
        <w:t>проведённой</w:t>
      </w:r>
      <w:r>
        <w:rPr>
          <w:rFonts w:eastAsia="TimesNewRomanPSMT"/>
          <w:sz w:val="24"/>
          <w:szCs w:val="24"/>
        </w:rPr>
        <w:t xml:space="preserve"> экспертизы, контрольно</w:t>
      </w:r>
      <w:r>
        <w:rPr>
          <w:rFonts w:hint="default" w:eastAsia="TimesNewRomanPSMT"/>
          <w:sz w:val="24"/>
          <w:szCs w:val="24"/>
          <w:lang w:val="ru-RU"/>
        </w:rPr>
        <w:t xml:space="preserve"> </w:t>
      </w:r>
      <w:r>
        <w:rPr>
          <w:rFonts w:eastAsia="TimesNewRomanPSMT"/>
          <w:sz w:val="24"/>
          <w:szCs w:val="24"/>
        </w:rPr>
        <w:t>-</w:t>
      </w:r>
      <w:r>
        <w:rPr>
          <w:rFonts w:hint="default" w:eastAsia="TimesNewRomanPSMT"/>
          <w:sz w:val="24"/>
          <w:szCs w:val="24"/>
          <w:lang w:val="ru-RU"/>
        </w:rPr>
        <w:t xml:space="preserve"> счётная</w:t>
      </w:r>
      <w:r>
        <w:rPr>
          <w:rFonts w:eastAsia="TimesNewRomanPSMT"/>
          <w:sz w:val="24"/>
          <w:szCs w:val="24"/>
        </w:rPr>
        <w:t xml:space="preserve"> комиссия </w:t>
      </w:r>
      <w:r>
        <w:rPr>
          <w:sz w:val="24"/>
          <w:szCs w:val="24"/>
        </w:rPr>
        <w:t xml:space="preserve">МО «Ленский муниципальный район» </w:t>
      </w:r>
      <w:r>
        <w:rPr>
          <w:rFonts w:eastAsia="TimesNewRomanPSMT"/>
          <w:sz w:val="24"/>
          <w:szCs w:val="24"/>
        </w:rPr>
        <w:t xml:space="preserve">полагает необходимым при рассмотрении </w:t>
      </w:r>
      <w:r>
        <w:rPr>
          <w:sz w:val="24"/>
          <w:szCs w:val="24"/>
        </w:rPr>
        <w:t xml:space="preserve">проекта Решения  «О бюджете муниципального образования «Урдомское» на 2024 год», после внесения вышеизложенных замечаний,  </w:t>
      </w:r>
      <w:r>
        <w:rPr>
          <w:rFonts w:eastAsia="TimesNewRomanPSMT"/>
          <w:sz w:val="24"/>
          <w:szCs w:val="24"/>
        </w:rPr>
        <w:t>направление на повторное экспертное заключение проекта решения «о бюджете муниципального образования «Урдомское» на 2024 год.</w:t>
      </w:r>
    </w:p>
    <w:p>
      <w:pPr>
        <w:jc w:val="both"/>
        <w:rPr>
          <w:rFonts w:eastAsia="TimesNewRomanPSMT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счётной</w:t>
      </w:r>
      <w:r>
        <w:rPr>
          <w:sz w:val="24"/>
          <w:szCs w:val="24"/>
        </w:rPr>
        <w:t xml:space="preserve"> комиссии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                                                                Л.Ю. Борисова</w:t>
      </w:r>
    </w:p>
    <w:p>
      <w:pPr>
        <w:jc w:val="both"/>
        <w:rPr>
          <w:sz w:val="24"/>
          <w:szCs w:val="24"/>
        </w:rPr>
      </w:pPr>
    </w:p>
    <w:p>
      <w:pPr>
        <w:ind w:firstLine="708"/>
        <w:rPr>
          <w:i/>
          <w:sz w:val="24"/>
          <w:szCs w:val="24"/>
        </w:rPr>
      </w:pPr>
    </w:p>
    <w:p>
      <w:pPr>
        <w:jc w:val="both"/>
        <w:rPr>
          <w:i/>
          <w:sz w:val="24"/>
          <w:szCs w:val="24"/>
        </w:rPr>
      </w:pPr>
    </w:p>
    <w:p>
      <w:pPr>
        <w:ind w:firstLine="708"/>
        <w:rPr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236FD"/>
    <w:rsid w:val="00000256"/>
    <w:rsid w:val="0000774B"/>
    <w:rsid w:val="00007ADD"/>
    <w:rsid w:val="0001073E"/>
    <w:rsid w:val="00010748"/>
    <w:rsid w:val="00011141"/>
    <w:rsid w:val="00011BF9"/>
    <w:rsid w:val="000121AA"/>
    <w:rsid w:val="00014996"/>
    <w:rsid w:val="00014EA8"/>
    <w:rsid w:val="00015C22"/>
    <w:rsid w:val="00016BC3"/>
    <w:rsid w:val="00016EA6"/>
    <w:rsid w:val="00016FB5"/>
    <w:rsid w:val="00017A0A"/>
    <w:rsid w:val="00020567"/>
    <w:rsid w:val="0002150B"/>
    <w:rsid w:val="00021AAA"/>
    <w:rsid w:val="00021EE0"/>
    <w:rsid w:val="00022789"/>
    <w:rsid w:val="0002644C"/>
    <w:rsid w:val="00027262"/>
    <w:rsid w:val="0003112C"/>
    <w:rsid w:val="00031864"/>
    <w:rsid w:val="00031977"/>
    <w:rsid w:val="00033606"/>
    <w:rsid w:val="00034CBC"/>
    <w:rsid w:val="000360BA"/>
    <w:rsid w:val="00036144"/>
    <w:rsid w:val="00036C6C"/>
    <w:rsid w:val="00037BFB"/>
    <w:rsid w:val="00037EDF"/>
    <w:rsid w:val="00040972"/>
    <w:rsid w:val="00041E55"/>
    <w:rsid w:val="00041FBB"/>
    <w:rsid w:val="0004310E"/>
    <w:rsid w:val="00043FC9"/>
    <w:rsid w:val="0004543F"/>
    <w:rsid w:val="00046DDB"/>
    <w:rsid w:val="00046E33"/>
    <w:rsid w:val="000471EC"/>
    <w:rsid w:val="0004782B"/>
    <w:rsid w:val="00050701"/>
    <w:rsid w:val="00050E87"/>
    <w:rsid w:val="00053748"/>
    <w:rsid w:val="00053FDB"/>
    <w:rsid w:val="00055535"/>
    <w:rsid w:val="00055547"/>
    <w:rsid w:val="00055915"/>
    <w:rsid w:val="00055A2D"/>
    <w:rsid w:val="000569F7"/>
    <w:rsid w:val="00056C73"/>
    <w:rsid w:val="00057423"/>
    <w:rsid w:val="00057A0F"/>
    <w:rsid w:val="000610F4"/>
    <w:rsid w:val="0006128A"/>
    <w:rsid w:val="0006341C"/>
    <w:rsid w:val="00065C71"/>
    <w:rsid w:val="00066278"/>
    <w:rsid w:val="000667D4"/>
    <w:rsid w:val="00070260"/>
    <w:rsid w:val="00071FFE"/>
    <w:rsid w:val="0007406A"/>
    <w:rsid w:val="00074699"/>
    <w:rsid w:val="0007471A"/>
    <w:rsid w:val="00075BB2"/>
    <w:rsid w:val="000765A6"/>
    <w:rsid w:val="0007786E"/>
    <w:rsid w:val="00077880"/>
    <w:rsid w:val="00077E7B"/>
    <w:rsid w:val="0008510F"/>
    <w:rsid w:val="00086FCC"/>
    <w:rsid w:val="000871CB"/>
    <w:rsid w:val="00092AC2"/>
    <w:rsid w:val="00094756"/>
    <w:rsid w:val="00095256"/>
    <w:rsid w:val="0009629F"/>
    <w:rsid w:val="00096AAB"/>
    <w:rsid w:val="0009740F"/>
    <w:rsid w:val="00097572"/>
    <w:rsid w:val="000A0A4D"/>
    <w:rsid w:val="000A0D7F"/>
    <w:rsid w:val="000A2D7F"/>
    <w:rsid w:val="000A2DF0"/>
    <w:rsid w:val="000A3B84"/>
    <w:rsid w:val="000A4EA9"/>
    <w:rsid w:val="000B597B"/>
    <w:rsid w:val="000B61C4"/>
    <w:rsid w:val="000B63D1"/>
    <w:rsid w:val="000C0527"/>
    <w:rsid w:val="000C1B23"/>
    <w:rsid w:val="000C2027"/>
    <w:rsid w:val="000C26CD"/>
    <w:rsid w:val="000C49FC"/>
    <w:rsid w:val="000C76AB"/>
    <w:rsid w:val="000D15CB"/>
    <w:rsid w:val="000D1CEF"/>
    <w:rsid w:val="000D2556"/>
    <w:rsid w:val="000D2C2D"/>
    <w:rsid w:val="000D2F13"/>
    <w:rsid w:val="000D7024"/>
    <w:rsid w:val="000E27B7"/>
    <w:rsid w:val="000E288C"/>
    <w:rsid w:val="000E2FD2"/>
    <w:rsid w:val="000E47F5"/>
    <w:rsid w:val="000E4C4F"/>
    <w:rsid w:val="000E6CF1"/>
    <w:rsid w:val="000F1484"/>
    <w:rsid w:val="000F202F"/>
    <w:rsid w:val="000F3F10"/>
    <w:rsid w:val="000F6963"/>
    <w:rsid w:val="00100ECA"/>
    <w:rsid w:val="001016DE"/>
    <w:rsid w:val="00101A25"/>
    <w:rsid w:val="001023CD"/>
    <w:rsid w:val="00102AAA"/>
    <w:rsid w:val="00107967"/>
    <w:rsid w:val="001100A1"/>
    <w:rsid w:val="00112F81"/>
    <w:rsid w:val="0011355C"/>
    <w:rsid w:val="001141A2"/>
    <w:rsid w:val="00115CA6"/>
    <w:rsid w:val="00121223"/>
    <w:rsid w:val="00121F31"/>
    <w:rsid w:val="001263EF"/>
    <w:rsid w:val="00127848"/>
    <w:rsid w:val="00127B8F"/>
    <w:rsid w:val="00130C46"/>
    <w:rsid w:val="0013409E"/>
    <w:rsid w:val="001348B1"/>
    <w:rsid w:val="001367EA"/>
    <w:rsid w:val="00136DDF"/>
    <w:rsid w:val="001378C4"/>
    <w:rsid w:val="00140A2C"/>
    <w:rsid w:val="001423FB"/>
    <w:rsid w:val="001448A3"/>
    <w:rsid w:val="00146B9B"/>
    <w:rsid w:val="00146D99"/>
    <w:rsid w:val="001512DB"/>
    <w:rsid w:val="00154526"/>
    <w:rsid w:val="001552C7"/>
    <w:rsid w:val="00160548"/>
    <w:rsid w:val="001631F1"/>
    <w:rsid w:val="001635B8"/>
    <w:rsid w:val="00163743"/>
    <w:rsid w:val="00165308"/>
    <w:rsid w:val="00170F17"/>
    <w:rsid w:val="00174A0B"/>
    <w:rsid w:val="00175EAC"/>
    <w:rsid w:val="00176A98"/>
    <w:rsid w:val="00180243"/>
    <w:rsid w:val="00180613"/>
    <w:rsid w:val="00182FBF"/>
    <w:rsid w:val="0018417B"/>
    <w:rsid w:val="001846C3"/>
    <w:rsid w:val="00184962"/>
    <w:rsid w:val="001864EB"/>
    <w:rsid w:val="00190215"/>
    <w:rsid w:val="00192051"/>
    <w:rsid w:val="0019377A"/>
    <w:rsid w:val="00194D91"/>
    <w:rsid w:val="00197916"/>
    <w:rsid w:val="001A0227"/>
    <w:rsid w:val="001A5055"/>
    <w:rsid w:val="001A740D"/>
    <w:rsid w:val="001A74E1"/>
    <w:rsid w:val="001A76E4"/>
    <w:rsid w:val="001B0719"/>
    <w:rsid w:val="001B1F09"/>
    <w:rsid w:val="001B28FF"/>
    <w:rsid w:val="001B7175"/>
    <w:rsid w:val="001C0187"/>
    <w:rsid w:val="001C419B"/>
    <w:rsid w:val="001C456E"/>
    <w:rsid w:val="001C50E4"/>
    <w:rsid w:val="001C5B5F"/>
    <w:rsid w:val="001C7893"/>
    <w:rsid w:val="001D1005"/>
    <w:rsid w:val="001D1E9F"/>
    <w:rsid w:val="001D50EA"/>
    <w:rsid w:val="001D52A6"/>
    <w:rsid w:val="001D7C36"/>
    <w:rsid w:val="001E05F4"/>
    <w:rsid w:val="001E09F9"/>
    <w:rsid w:val="001E1D68"/>
    <w:rsid w:val="001E2D10"/>
    <w:rsid w:val="001E47B2"/>
    <w:rsid w:val="001E5413"/>
    <w:rsid w:val="001E60E1"/>
    <w:rsid w:val="001E65A2"/>
    <w:rsid w:val="001F0A54"/>
    <w:rsid w:val="001F17F7"/>
    <w:rsid w:val="001F3D45"/>
    <w:rsid w:val="001F4082"/>
    <w:rsid w:val="001F4708"/>
    <w:rsid w:val="001F4F5F"/>
    <w:rsid w:val="001F5395"/>
    <w:rsid w:val="001F5E4C"/>
    <w:rsid w:val="001F669F"/>
    <w:rsid w:val="001F69F2"/>
    <w:rsid w:val="001F7B72"/>
    <w:rsid w:val="00200677"/>
    <w:rsid w:val="0020137E"/>
    <w:rsid w:val="002035D2"/>
    <w:rsid w:val="00203F61"/>
    <w:rsid w:val="002040E4"/>
    <w:rsid w:val="002041B5"/>
    <w:rsid w:val="0020537D"/>
    <w:rsid w:val="00205C57"/>
    <w:rsid w:val="00206E3B"/>
    <w:rsid w:val="00211262"/>
    <w:rsid w:val="00211328"/>
    <w:rsid w:val="0021298E"/>
    <w:rsid w:val="002161B0"/>
    <w:rsid w:val="00216C36"/>
    <w:rsid w:val="00220994"/>
    <w:rsid w:val="002218D6"/>
    <w:rsid w:val="002248BF"/>
    <w:rsid w:val="00225DB3"/>
    <w:rsid w:val="00226BE0"/>
    <w:rsid w:val="00231DD1"/>
    <w:rsid w:val="002402E5"/>
    <w:rsid w:val="002434E4"/>
    <w:rsid w:val="00243CF5"/>
    <w:rsid w:val="002475DC"/>
    <w:rsid w:val="002518D7"/>
    <w:rsid w:val="00252B28"/>
    <w:rsid w:val="00253A8E"/>
    <w:rsid w:val="00254C26"/>
    <w:rsid w:val="0025561B"/>
    <w:rsid w:val="00255BE7"/>
    <w:rsid w:val="002634DA"/>
    <w:rsid w:val="002652E6"/>
    <w:rsid w:val="00266627"/>
    <w:rsid w:val="00270024"/>
    <w:rsid w:val="00272117"/>
    <w:rsid w:val="00274CF9"/>
    <w:rsid w:val="00274E55"/>
    <w:rsid w:val="002756D8"/>
    <w:rsid w:val="00276D2A"/>
    <w:rsid w:val="00277AA1"/>
    <w:rsid w:val="002800FB"/>
    <w:rsid w:val="0028199E"/>
    <w:rsid w:val="00291A5F"/>
    <w:rsid w:val="00293F24"/>
    <w:rsid w:val="00293FDA"/>
    <w:rsid w:val="002952A9"/>
    <w:rsid w:val="0029793E"/>
    <w:rsid w:val="002A09DF"/>
    <w:rsid w:val="002A2A49"/>
    <w:rsid w:val="002B114C"/>
    <w:rsid w:val="002B46D5"/>
    <w:rsid w:val="002B4DC1"/>
    <w:rsid w:val="002B5FA3"/>
    <w:rsid w:val="002C02E9"/>
    <w:rsid w:val="002C395C"/>
    <w:rsid w:val="002C4E38"/>
    <w:rsid w:val="002C5DE2"/>
    <w:rsid w:val="002C63D6"/>
    <w:rsid w:val="002C6CD1"/>
    <w:rsid w:val="002C6D60"/>
    <w:rsid w:val="002D116B"/>
    <w:rsid w:val="002D4016"/>
    <w:rsid w:val="002D45CA"/>
    <w:rsid w:val="002D4F23"/>
    <w:rsid w:val="002D597C"/>
    <w:rsid w:val="002D64D8"/>
    <w:rsid w:val="002D66D1"/>
    <w:rsid w:val="002D6F4B"/>
    <w:rsid w:val="002D6FC6"/>
    <w:rsid w:val="002E1061"/>
    <w:rsid w:val="002E2001"/>
    <w:rsid w:val="002E3246"/>
    <w:rsid w:val="002E5690"/>
    <w:rsid w:val="002E58C0"/>
    <w:rsid w:val="002F0613"/>
    <w:rsid w:val="002F194A"/>
    <w:rsid w:val="002F2894"/>
    <w:rsid w:val="002F407D"/>
    <w:rsid w:val="002F6F86"/>
    <w:rsid w:val="002F769F"/>
    <w:rsid w:val="00301593"/>
    <w:rsid w:val="00304E96"/>
    <w:rsid w:val="00305AB6"/>
    <w:rsid w:val="00307825"/>
    <w:rsid w:val="00312553"/>
    <w:rsid w:val="0031633E"/>
    <w:rsid w:val="00317334"/>
    <w:rsid w:val="00317433"/>
    <w:rsid w:val="003178A8"/>
    <w:rsid w:val="00321924"/>
    <w:rsid w:val="0032197C"/>
    <w:rsid w:val="00321E64"/>
    <w:rsid w:val="003260EC"/>
    <w:rsid w:val="0032751F"/>
    <w:rsid w:val="00330D8A"/>
    <w:rsid w:val="003317A2"/>
    <w:rsid w:val="003325D4"/>
    <w:rsid w:val="00332A5D"/>
    <w:rsid w:val="0033407E"/>
    <w:rsid w:val="00334C51"/>
    <w:rsid w:val="003376D3"/>
    <w:rsid w:val="00341B56"/>
    <w:rsid w:val="00342257"/>
    <w:rsid w:val="00342667"/>
    <w:rsid w:val="003426EC"/>
    <w:rsid w:val="00343377"/>
    <w:rsid w:val="00343BF3"/>
    <w:rsid w:val="00343DF2"/>
    <w:rsid w:val="003456C9"/>
    <w:rsid w:val="00345BB4"/>
    <w:rsid w:val="0034797A"/>
    <w:rsid w:val="0035021F"/>
    <w:rsid w:val="0035031B"/>
    <w:rsid w:val="00350BC9"/>
    <w:rsid w:val="00352BCE"/>
    <w:rsid w:val="00353411"/>
    <w:rsid w:val="0035494A"/>
    <w:rsid w:val="00356956"/>
    <w:rsid w:val="00357C6B"/>
    <w:rsid w:val="00360254"/>
    <w:rsid w:val="003645DF"/>
    <w:rsid w:val="00366C5A"/>
    <w:rsid w:val="003671B4"/>
    <w:rsid w:val="00371462"/>
    <w:rsid w:val="00373B32"/>
    <w:rsid w:val="0037477A"/>
    <w:rsid w:val="0037664C"/>
    <w:rsid w:val="00376FC8"/>
    <w:rsid w:val="0037779D"/>
    <w:rsid w:val="0038332E"/>
    <w:rsid w:val="00384121"/>
    <w:rsid w:val="00384162"/>
    <w:rsid w:val="00384BB5"/>
    <w:rsid w:val="00386368"/>
    <w:rsid w:val="00386A21"/>
    <w:rsid w:val="0039470E"/>
    <w:rsid w:val="00395CAB"/>
    <w:rsid w:val="00396FF5"/>
    <w:rsid w:val="003A27C5"/>
    <w:rsid w:val="003A4607"/>
    <w:rsid w:val="003A71D9"/>
    <w:rsid w:val="003A7327"/>
    <w:rsid w:val="003A7B65"/>
    <w:rsid w:val="003B0D18"/>
    <w:rsid w:val="003B252C"/>
    <w:rsid w:val="003B4B5E"/>
    <w:rsid w:val="003B725F"/>
    <w:rsid w:val="003B7D19"/>
    <w:rsid w:val="003C0D32"/>
    <w:rsid w:val="003C19B6"/>
    <w:rsid w:val="003C2913"/>
    <w:rsid w:val="003C6014"/>
    <w:rsid w:val="003C78A5"/>
    <w:rsid w:val="003D1FA8"/>
    <w:rsid w:val="003D2570"/>
    <w:rsid w:val="003D2950"/>
    <w:rsid w:val="003D5575"/>
    <w:rsid w:val="003D615D"/>
    <w:rsid w:val="003E13BA"/>
    <w:rsid w:val="003E15E7"/>
    <w:rsid w:val="003E250B"/>
    <w:rsid w:val="003E44B8"/>
    <w:rsid w:val="003E62BD"/>
    <w:rsid w:val="003E7235"/>
    <w:rsid w:val="003E7E1B"/>
    <w:rsid w:val="003F1DA7"/>
    <w:rsid w:val="003F2F2D"/>
    <w:rsid w:val="003F4105"/>
    <w:rsid w:val="003F5B9B"/>
    <w:rsid w:val="003F6FB1"/>
    <w:rsid w:val="0040126C"/>
    <w:rsid w:val="00401ED3"/>
    <w:rsid w:val="00402EF2"/>
    <w:rsid w:val="004044BD"/>
    <w:rsid w:val="004050E8"/>
    <w:rsid w:val="004066AB"/>
    <w:rsid w:val="00410A34"/>
    <w:rsid w:val="00410E35"/>
    <w:rsid w:val="00412690"/>
    <w:rsid w:val="00412A91"/>
    <w:rsid w:val="00414AC3"/>
    <w:rsid w:val="00414DC4"/>
    <w:rsid w:val="00415081"/>
    <w:rsid w:val="0041589A"/>
    <w:rsid w:val="00415A46"/>
    <w:rsid w:val="00416D1D"/>
    <w:rsid w:val="004205A0"/>
    <w:rsid w:val="00422399"/>
    <w:rsid w:val="00422CB9"/>
    <w:rsid w:val="004232CF"/>
    <w:rsid w:val="0042339A"/>
    <w:rsid w:val="00424AD1"/>
    <w:rsid w:val="004252BE"/>
    <w:rsid w:val="00426C7A"/>
    <w:rsid w:val="004276F9"/>
    <w:rsid w:val="00431F11"/>
    <w:rsid w:val="00433280"/>
    <w:rsid w:val="00433D80"/>
    <w:rsid w:val="00433EEE"/>
    <w:rsid w:val="004340D6"/>
    <w:rsid w:val="00435331"/>
    <w:rsid w:val="00437799"/>
    <w:rsid w:val="00441A2A"/>
    <w:rsid w:val="0044258E"/>
    <w:rsid w:val="00446E94"/>
    <w:rsid w:val="00452151"/>
    <w:rsid w:val="00452D1B"/>
    <w:rsid w:val="004638BB"/>
    <w:rsid w:val="00463B9A"/>
    <w:rsid w:val="004650F1"/>
    <w:rsid w:val="00465F7D"/>
    <w:rsid w:val="004665E5"/>
    <w:rsid w:val="00467FFB"/>
    <w:rsid w:val="00470A53"/>
    <w:rsid w:val="00470E7F"/>
    <w:rsid w:val="004736AB"/>
    <w:rsid w:val="00474412"/>
    <w:rsid w:val="0047585C"/>
    <w:rsid w:val="004804A9"/>
    <w:rsid w:val="004819B7"/>
    <w:rsid w:val="00482528"/>
    <w:rsid w:val="00482C13"/>
    <w:rsid w:val="0048447E"/>
    <w:rsid w:val="00486163"/>
    <w:rsid w:val="004917F3"/>
    <w:rsid w:val="00491F4C"/>
    <w:rsid w:val="004924D6"/>
    <w:rsid w:val="00493CA1"/>
    <w:rsid w:val="0049522E"/>
    <w:rsid w:val="004967AD"/>
    <w:rsid w:val="00497AD0"/>
    <w:rsid w:val="004A0B36"/>
    <w:rsid w:val="004A2083"/>
    <w:rsid w:val="004A32AB"/>
    <w:rsid w:val="004A4466"/>
    <w:rsid w:val="004A45B9"/>
    <w:rsid w:val="004A7F04"/>
    <w:rsid w:val="004B037C"/>
    <w:rsid w:val="004B044D"/>
    <w:rsid w:val="004B0F1E"/>
    <w:rsid w:val="004B2817"/>
    <w:rsid w:val="004B3225"/>
    <w:rsid w:val="004B3E1D"/>
    <w:rsid w:val="004B4922"/>
    <w:rsid w:val="004B6191"/>
    <w:rsid w:val="004B6696"/>
    <w:rsid w:val="004B6FDE"/>
    <w:rsid w:val="004B731B"/>
    <w:rsid w:val="004C0485"/>
    <w:rsid w:val="004C0841"/>
    <w:rsid w:val="004C21A0"/>
    <w:rsid w:val="004C3683"/>
    <w:rsid w:val="004C3EAB"/>
    <w:rsid w:val="004C53C5"/>
    <w:rsid w:val="004C552F"/>
    <w:rsid w:val="004C77AE"/>
    <w:rsid w:val="004D33AD"/>
    <w:rsid w:val="004D6001"/>
    <w:rsid w:val="004D620A"/>
    <w:rsid w:val="004D7104"/>
    <w:rsid w:val="004D7A8D"/>
    <w:rsid w:val="004E0EF0"/>
    <w:rsid w:val="004E0F06"/>
    <w:rsid w:val="004E20BD"/>
    <w:rsid w:val="004E22BF"/>
    <w:rsid w:val="004E3282"/>
    <w:rsid w:val="004E37A3"/>
    <w:rsid w:val="004E5701"/>
    <w:rsid w:val="004E6935"/>
    <w:rsid w:val="004F02AD"/>
    <w:rsid w:val="004F03C7"/>
    <w:rsid w:val="004F0B7B"/>
    <w:rsid w:val="004F109C"/>
    <w:rsid w:val="00500AD5"/>
    <w:rsid w:val="00503DAA"/>
    <w:rsid w:val="005059A0"/>
    <w:rsid w:val="0050629C"/>
    <w:rsid w:val="00506E57"/>
    <w:rsid w:val="00507F77"/>
    <w:rsid w:val="00510234"/>
    <w:rsid w:val="00511354"/>
    <w:rsid w:val="00511ED8"/>
    <w:rsid w:val="005126CF"/>
    <w:rsid w:val="005136EC"/>
    <w:rsid w:val="00514525"/>
    <w:rsid w:val="00514AEB"/>
    <w:rsid w:val="00514C6B"/>
    <w:rsid w:val="00515B29"/>
    <w:rsid w:val="00516108"/>
    <w:rsid w:val="005165B0"/>
    <w:rsid w:val="0052204E"/>
    <w:rsid w:val="00522A61"/>
    <w:rsid w:val="00527548"/>
    <w:rsid w:val="005303BF"/>
    <w:rsid w:val="00530715"/>
    <w:rsid w:val="005321FC"/>
    <w:rsid w:val="00532770"/>
    <w:rsid w:val="00532F4B"/>
    <w:rsid w:val="005343BF"/>
    <w:rsid w:val="00537312"/>
    <w:rsid w:val="00537D06"/>
    <w:rsid w:val="0054191D"/>
    <w:rsid w:val="00541D1F"/>
    <w:rsid w:val="00541FD0"/>
    <w:rsid w:val="00543BBA"/>
    <w:rsid w:val="005479B0"/>
    <w:rsid w:val="00552563"/>
    <w:rsid w:val="00552880"/>
    <w:rsid w:val="00554BD3"/>
    <w:rsid w:val="00554F42"/>
    <w:rsid w:val="00555E14"/>
    <w:rsid w:val="00556764"/>
    <w:rsid w:val="0055677D"/>
    <w:rsid w:val="00556C17"/>
    <w:rsid w:val="00556D87"/>
    <w:rsid w:val="00560B30"/>
    <w:rsid w:val="00560FF0"/>
    <w:rsid w:val="00561700"/>
    <w:rsid w:val="005632AB"/>
    <w:rsid w:val="00565317"/>
    <w:rsid w:val="00565D71"/>
    <w:rsid w:val="00567042"/>
    <w:rsid w:val="00567C6A"/>
    <w:rsid w:val="00567F29"/>
    <w:rsid w:val="00574C83"/>
    <w:rsid w:val="00575079"/>
    <w:rsid w:val="00576AF4"/>
    <w:rsid w:val="00577DD8"/>
    <w:rsid w:val="0058064C"/>
    <w:rsid w:val="00580FE1"/>
    <w:rsid w:val="00583796"/>
    <w:rsid w:val="00584960"/>
    <w:rsid w:val="00587778"/>
    <w:rsid w:val="00593345"/>
    <w:rsid w:val="005955A8"/>
    <w:rsid w:val="00595B3C"/>
    <w:rsid w:val="00596802"/>
    <w:rsid w:val="00596AC7"/>
    <w:rsid w:val="0059733A"/>
    <w:rsid w:val="005A365A"/>
    <w:rsid w:val="005A63C9"/>
    <w:rsid w:val="005A7181"/>
    <w:rsid w:val="005A78A6"/>
    <w:rsid w:val="005B3C89"/>
    <w:rsid w:val="005B5546"/>
    <w:rsid w:val="005B7078"/>
    <w:rsid w:val="005B7E23"/>
    <w:rsid w:val="005C1610"/>
    <w:rsid w:val="005C2BD3"/>
    <w:rsid w:val="005C3A50"/>
    <w:rsid w:val="005C5EAF"/>
    <w:rsid w:val="005D2876"/>
    <w:rsid w:val="005D6237"/>
    <w:rsid w:val="005E5356"/>
    <w:rsid w:val="005E5F0F"/>
    <w:rsid w:val="005E64B0"/>
    <w:rsid w:val="005F059B"/>
    <w:rsid w:val="005F094F"/>
    <w:rsid w:val="005F223F"/>
    <w:rsid w:val="005F25D3"/>
    <w:rsid w:val="005F31EE"/>
    <w:rsid w:val="005F43CF"/>
    <w:rsid w:val="005F4CFD"/>
    <w:rsid w:val="005F62A9"/>
    <w:rsid w:val="005F6DA3"/>
    <w:rsid w:val="0060506B"/>
    <w:rsid w:val="006060C6"/>
    <w:rsid w:val="006061BA"/>
    <w:rsid w:val="006074A4"/>
    <w:rsid w:val="00610383"/>
    <w:rsid w:val="006156F1"/>
    <w:rsid w:val="00615A98"/>
    <w:rsid w:val="00616A3D"/>
    <w:rsid w:val="00616DBC"/>
    <w:rsid w:val="0061715B"/>
    <w:rsid w:val="00620737"/>
    <w:rsid w:val="00621F51"/>
    <w:rsid w:val="006223FF"/>
    <w:rsid w:val="00623965"/>
    <w:rsid w:val="00626B6E"/>
    <w:rsid w:val="0062741A"/>
    <w:rsid w:val="0063306C"/>
    <w:rsid w:val="00642B04"/>
    <w:rsid w:val="0065486F"/>
    <w:rsid w:val="00660EFF"/>
    <w:rsid w:val="00662ECA"/>
    <w:rsid w:val="00665732"/>
    <w:rsid w:val="00666471"/>
    <w:rsid w:val="00673E90"/>
    <w:rsid w:val="006765F7"/>
    <w:rsid w:val="00676CA0"/>
    <w:rsid w:val="00682167"/>
    <w:rsid w:val="006830B1"/>
    <w:rsid w:val="00684FE1"/>
    <w:rsid w:val="006857D0"/>
    <w:rsid w:val="00685EC7"/>
    <w:rsid w:val="00685EE0"/>
    <w:rsid w:val="006875D2"/>
    <w:rsid w:val="00690C66"/>
    <w:rsid w:val="00691901"/>
    <w:rsid w:val="00692716"/>
    <w:rsid w:val="00693F7E"/>
    <w:rsid w:val="006947DE"/>
    <w:rsid w:val="0069532C"/>
    <w:rsid w:val="00695DCF"/>
    <w:rsid w:val="0069660F"/>
    <w:rsid w:val="006976D5"/>
    <w:rsid w:val="006A262C"/>
    <w:rsid w:val="006A4534"/>
    <w:rsid w:val="006A5307"/>
    <w:rsid w:val="006A5593"/>
    <w:rsid w:val="006A6155"/>
    <w:rsid w:val="006A69DD"/>
    <w:rsid w:val="006B0A50"/>
    <w:rsid w:val="006B233E"/>
    <w:rsid w:val="006B3326"/>
    <w:rsid w:val="006B47A1"/>
    <w:rsid w:val="006B5FC2"/>
    <w:rsid w:val="006B65DC"/>
    <w:rsid w:val="006B72CA"/>
    <w:rsid w:val="006B776F"/>
    <w:rsid w:val="006C07C3"/>
    <w:rsid w:val="006C1AD3"/>
    <w:rsid w:val="006C35B1"/>
    <w:rsid w:val="006C4B55"/>
    <w:rsid w:val="006C79B1"/>
    <w:rsid w:val="006D0634"/>
    <w:rsid w:val="006D201B"/>
    <w:rsid w:val="006D2290"/>
    <w:rsid w:val="006D4A8C"/>
    <w:rsid w:val="006D4AC9"/>
    <w:rsid w:val="006D51AA"/>
    <w:rsid w:val="006D5391"/>
    <w:rsid w:val="006D7632"/>
    <w:rsid w:val="006E28D3"/>
    <w:rsid w:val="006E37DA"/>
    <w:rsid w:val="006E407E"/>
    <w:rsid w:val="006E4DED"/>
    <w:rsid w:val="006E7087"/>
    <w:rsid w:val="006F2625"/>
    <w:rsid w:val="006F2779"/>
    <w:rsid w:val="006F2B85"/>
    <w:rsid w:val="006F3DEE"/>
    <w:rsid w:val="006F7411"/>
    <w:rsid w:val="006F7470"/>
    <w:rsid w:val="00701B57"/>
    <w:rsid w:val="00702079"/>
    <w:rsid w:val="007022C2"/>
    <w:rsid w:val="007031F5"/>
    <w:rsid w:val="00704909"/>
    <w:rsid w:val="00707B57"/>
    <w:rsid w:val="00710368"/>
    <w:rsid w:val="0071294F"/>
    <w:rsid w:val="007130B3"/>
    <w:rsid w:val="007165C3"/>
    <w:rsid w:val="00720843"/>
    <w:rsid w:val="00720BF7"/>
    <w:rsid w:val="00725673"/>
    <w:rsid w:val="0072716F"/>
    <w:rsid w:val="007277A5"/>
    <w:rsid w:val="007303D1"/>
    <w:rsid w:val="00730CCB"/>
    <w:rsid w:val="007333D6"/>
    <w:rsid w:val="00733C88"/>
    <w:rsid w:val="0073455E"/>
    <w:rsid w:val="007366C8"/>
    <w:rsid w:val="007372B4"/>
    <w:rsid w:val="00744182"/>
    <w:rsid w:val="007447AD"/>
    <w:rsid w:val="00744C97"/>
    <w:rsid w:val="00745156"/>
    <w:rsid w:val="00746DA6"/>
    <w:rsid w:val="00747BCA"/>
    <w:rsid w:val="0075050C"/>
    <w:rsid w:val="00751C3A"/>
    <w:rsid w:val="00753CE9"/>
    <w:rsid w:val="007611C3"/>
    <w:rsid w:val="007623BA"/>
    <w:rsid w:val="00762558"/>
    <w:rsid w:val="00762952"/>
    <w:rsid w:val="00763588"/>
    <w:rsid w:val="00765FF0"/>
    <w:rsid w:val="00771E30"/>
    <w:rsid w:val="00772ECE"/>
    <w:rsid w:val="00780753"/>
    <w:rsid w:val="00780C86"/>
    <w:rsid w:val="00781C39"/>
    <w:rsid w:val="00782FD2"/>
    <w:rsid w:val="00784C56"/>
    <w:rsid w:val="0078686A"/>
    <w:rsid w:val="00786FDB"/>
    <w:rsid w:val="00790B52"/>
    <w:rsid w:val="0079204C"/>
    <w:rsid w:val="00793D4A"/>
    <w:rsid w:val="007957CB"/>
    <w:rsid w:val="007A25EB"/>
    <w:rsid w:val="007A4997"/>
    <w:rsid w:val="007A5AB2"/>
    <w:rsid w:val="007A5B5A"/>
    <w:rsid w:val="007B0DD4"/>
    <w:rsid w:val="007B33AB"/>
    <w:rsid w:val="007B3432"/>
    <w:rsid w:val="007B3C9E"/>
    <w:rsid w:val="007B4809"/>
    <w:rsid w:val="007B6FFB"/>
    <w:rsid w:val="007B7BC3"/>
    <w:rsid w:val="007C2238"/>
    <w:rsid w:val="007C44F3"/>
    <w:rsid w:val="007C657B"/>
    <w:rsid w:val="007D05BC"/>
    <w:rsid w:val="007D5286"/>
    <w:rsid w:val="007E031E"/>
    <w:rsid w:val="007E0499"/>
    <w:rsid w:val="007E108C"/>
    <w:rsid w:val="007E6161"/>
    <w:rsid w:val="007E7A11"/>
    <w:rsid w:val="007F0BDA"/>
    <w:rsid w:val="007F1154"/>
    <w:rsid w:val="00801213"/>
    <w:rsid w:val="00802532"/>
    <w:rsid w:val="0080360B"/>
    <w:rsid w:val="00806469"/>
    <w:rsid w:val="008065AF"/>
    <w:rsid w:val="00812471"/>
    <w:rsid w:val="00814938"/>
    <w:rsid w:val="00822251"/>
    <w:rsid w:val="00823D5D"/>
    <w:rsid w:val="00824057"/>
    <w:rsid w:val="0082483F"/>
    <w:rsid w:val="0082499B"/>
    <w:rsid w:val="00826AB8"/>
    <w:rsid w:val="00827A94"/>
    <w:rsid w:val="00830B24"/>
    <w:rsid w:val="0083205C"/>
    <w:rsid w:val="00833E89"/>
    <w:rsid w:val="00834E46"/>
    <w:rsid w:val="00834EA0"/>
    <w:rsid w:val="00843F91"/>
    <w:rsid w:val="0085143B"/>
    <w:rsid w:val="008553A2"/>
    <w:rsid w:val="00855B69"/>
    <w:rsid w:val="008621A6"/>
    <w:rsid w:val="00862A05"/>
    <w:rsid w:val="00862A6A"/>
    <w:rsid w:val="008640F2"/>
    <w:rsid w:val="00864AA7"/>
    <w:rsid w:val="008655F2"/>
    <w:rsid w:val="008721FC"/>
    <w:rsid w:val="00872DA2"/>
    <w:rsid w:val="00874EF8"/>
    <w:rsid w:val="0087749A"/>
    <w:rsid w:val="00880B84"/>
    <w:rsid w:val="00884E51"/>
    <w:rsid w:val="00885D75"/>
    <w:rsid w:val="0088642D"/>
    <w:rsid w:val="00886684"/>
    <w:rsid w:val="00887EF2"/>
    <w:rsid w:val="008908AD"/>
    <w:rsid w:val="00891622"/>
    <w:rsid w:val="008918A7"/>
    <w:rsid w:val="00891C8E"/>
    <w:rsid w:val="00892310"/>
    <w:rsid w:val="008943E7"/>
    <w:rsid w:val="00894723"/>
    <w:rsid w:val="00895516"/>
    <w:rsid w:val="008A0D59"/>
    <w:rsid w:val="008A13DC"/>
    <w:rsid w:val="008A4E5C"/>
    <w:rsid w:val="008B02B2"/>
    <w:rsid w:val="008B1513"/>
    <w:rsid w:val="008B3EA8"/>
    <w:rsid w:val="008B441B"/>
    <w:rsid w:val="008B47AB"/>
    <w:rsid w:val="008B5255"/>
    <w:rsid w:val="008C0CF3"/>
    <w:rsid w:val="008C3748"/>
    <w:rsid w:val="008C3819"/>
    <w:rsid w:val="008C398A"/>
    <w:rsid w:val="008C3C3F"/>
    <w:rsid w:val="008C40CF"/>
    <w:rsid w:val="008C5640"/>
    <w:rsid w:val="008C742E"/>
    <w:rsid w:val="008D0BA6"/>
    <w:rsid w:val="008D3649"/>
    <w:rsid w:val="008D775D"/>
    <w:rsid w:val="008E1A13"/>
    <w:rsid w:val="008E6474"/>
    <w:rsid w:val="008E6F89"/>
    <w:rsid w:val="008F0E9F"/>
    <w:rsid w:val="008F1E8B"/>
    <w:rsid w:val="008F31A2"/>
    <w:rsid w:val="008F320D"/>
    <w:rsid w:val="008F4246"/>
    <w:rsid w:val="008F669D"/>
    <w:rsid w:val="009029E0"/>
    <w:rsid w:val="00906017"/>
    <w:rsid w:val="009073DA"/>
    <w:rsid w:val="00907F1C"/>
    <w:rsid w:val="009100C9"/>
    <w:rsid w:val="00911361"/>
    <w:rsid w:val="00912D60"/>
    <w:rsid w:val="009132D4"/>
    <w:rsid w:val="0091340C"/>
    <w:rsid w:val="00913B7B"/>
    <w:rsid w:val="009153B8"/>
    <w:rsid w:val="00923E89"/>
    <w:rsid w:val="00924215"/>
    <w:rsid w:val="009246A5"/>
    <w:rsid w:val="009266CF"/>
    <w:rsid w:val="00926ACA"/>
    <w:rsid w:val="00932F5C"/>
    <w:rsid w:val="00936F5F"/>
    <w:rsid w:val="0093733A"/>
    <w:rsid w:val="009432FE"/>
    <w:rsid w:val="00950488"/>
    <w:rsid w:val="00950DAB"/>
    <w:rsid w:val="00952947"/>
    <w:rsid w:val="009532C9"/>
    <w:rsid w:val="009544ED"/>
    <w:rsid w:val="00956B06"/>
    <w:rsid w:val="0096093E"/>
    <w:rsid w:val="00962BFB"/>
    <w:rsid w:val="009656D6"/>
    <w:rsid w:val="00965C48"/>
    <w:rsid w:val="00967D62"/>
    <w:rsid w:val="00967E1F"/>
    <w:rsid w:val="00970388"/>
    <w:rsid w:val="009749C9"/>
    <w:rsid w:val="00975324"/>
    <w:rsid w:val="009755F9"/>
    <w:rsid w:val="00977BE6"/>
    <w:rsid w:val="009807B7"/>
    <w:rsid w:val="00981C9B"/>
    <w:rsid w:val="00982D0F"/>
    <w:rsid w:val="00983544"/>
    <w:rsid w:val="00984ED1"/>
    <w:rsid w:val="009863BD"/>
    <w:rsid w:val="00990E7B"/>
    <w:rsid w:val="0099142A"/>
    <w:rsid w:val="009A0F47"/>
    <w:rsid w:val="009A529E"/>
    <w:rsid w:val="009A5430"/>
    <w:rsid w:val="009A54DC"/>
    <w:rsid w:val="009A6FAA"/>
    <w:rsid w:val="009A7202"/>
    <w:rsid w:val="009A75AA"/>
    <w:rsid w:val="009B2EF0"/>
    <w:rsid w:val="009B3E47"/>
    <w:rsid w:val="009B463F"/>
    <w:rsid w:val="009B4E06"/>
    <w:rsid w:val="009B5335"/>
    <w:rsid w:val="009C1733"/>
    <w:rsid w:val="009C3CEF"/>
    <w:rsid w:val="009C58A2"/>
    <w:rsid w:val="009C5B0C"/>
    <w:rsid w:val="009C63D6"/>
    <w:rsid w:val="009C7130"/>
    <w:rsid w:val="009C714A"/>
    <w:rsid w:val="009C72BE"/>
    <w:rsid w:val="009C73B3"/>
    <w:rsid w:val="009D0FBC"/>
    <w:rsid w:val="009D197E"/>
    <w:rsid w:val="009D21E9"/>
    <w:rsid w:val="009D2A43"/>
    <w:rsid w:val="009D4300"/>
    <w:rsid w:val="009D633B"/>
    <w:rsid w:val="009D645C"/>
    <w:rsid w:val="009D7312"/>
    <w:rsid w:val="009D781C"/>
    <w:rsid w:val="009E0D56"/>
    <w:rsid w:val="009E2743"/>
    <w:rsid w:val="009E33E8"/>
    <w:rsid w:val="009E3713"/>
    <w:rsid w:val="009E3CCB"/>
    <w:rsid w:val="009E5F65"/>
    <w:rsid w:val="009E733E"/>
    <w:rsid w:val="009E77BC"/>
    <w:rsid w:val="009F0345"/>
    <w:rsid w:val="009F4944"/>
    <w:rsid w:val="009F5288"/>
    <w:rsid w:val="009F6FF2"/>
    <w:rsid w:val="00A010C9"/>
    <w:rsid w:val="00A0292F"/>
    <w:rsid w:val="00A02FF1"/>
    <w:rsid w:val="00A03320"/>
    <w:rsid w:val="00A04712"/>
    <w:rsid w:val="00A053CC"/>
    <w:rsid w:val="00A074F0"/>
    <w:rsid w:val="00A07F38"/>
    <w:rsid w:val="00A10DAA"/>
    <w:rsid w:val="00A112F7"/>
    <w:rsid w:val="00A11BBA"/>
    <w:rsid w:val="00A16BE6"/>
    <w:rsid w:val="00A2092A"/>
    <w:rsid w:val="00A20B30"/>
    <w:rsid w:val="00A23821"/>
    <w:rsid w:val="00A23FEE"/>
    <w:rsid w:val="00A26948"/>
    <w:rsid w:val="00A26C26"/>
    <w:rsid w:val="00A2776A"/>
    <w:rsid w:val="00A3354E"/>
    <w:rsid w:val="00A3538E"/>
    <w:rsid w:val="00A35CE7"/>
    <w:rsid w:val="00A35FD8"/>
    <w:rsid w:val="00A400D4"/>
    <w:rsid w:val="00A40243"/>
    <w:rsid w:val="00A40BFA"/>
    <w:rsid w:val="00A438CC"/>
    <w:rsid w:val="00A4528C"/>
    <w:rsid w:val="00A53684"/>
    <w:rsid w:val="00A55923"/>
    <w:rsid w:val="00A564D5"/>
    <w:rsid w:val="00A56E89"/>
    <w:rsid w:val="00A574CB"/>
    <w:rsid w:val="00A61815"/>
    <w:rsid w:val="00A622A6"/>
    <w:rsid w:val="00A62832"/>
    <w:rsid w:val="00A630FF"/>
    <w:rsid w:val="00A65ABC"/>
    <w:rsid w:val="00A679A5"/>
    <w:rsid w:val="00A67EA6"/>
    <w:rsid w:val="00A70E6C"/>
    <w:rsid w:val="00A74FDC"/>
    <w:rsid w:val="00A761F7"/>
    <w:rsid w:val="00A7644F"/>
    <w:rsid w:val="00A84D12"/>
    <w:rsid w:val="00A869D3"/>
    <w:rsid w:val="00A87E94"/>
    <w:rsid w:val="00A9003C"/>
    <w:rsid w:val="00A907A3"/>
    <w:rsid w:val="00A93F85"/>
    <w:rsid w:val="00A95867"/>
    <w:rsid w:val="00A97FC0"/>
    <w:rsid w:val="00AA0493"/>
    <w:rsid w:val="00AA0A8E"/>
    <w:rsid w:val="00AA13C8"/>
    <w:rsid w:val="00AA1606"/>
    <w:rsid w:val="00AA36BD"/>
    <w:rsid w:val="00AA497B"/>
    <w:rsid w:val="00AA500A"/>
    <w:rsid w:val="00AA6E85"/>
    <w:rsid w:val="00AA79AB"/>
    <w:rsid w:val="00AB1A8E"/>
    <w:rsid w:val="00AB49A2"/>
    <w:rsid w:val="00AB4D9F"/>
    <w:rsid w:val="00AB5AAE"/>
    <w:rsid w:val="00AB6B9B"/>
    <w:rsid w:val="00AB70E0"/>
    <w:rsid w:val="00AC16B0"/>
    <w:rsid w:val="00AC249C"/>
    <w:rsid w:val="00AC36E4"/>
    <w:rsid w:val="00AC3F68"/>
    <w:rsid w:val="00AC4387"/>
    <w:rsid w:val="00AC6B31"/>
    <w:rsid w:val="00AD071C"/>
    <w:rsid w:val="00AD35CE"/>
    <w:rsid w:val="00AD4ABD"/>
    <w:rsid w:val="00AD4CB0"/>
    <w:rsid w:val="00AD6794"/>
    <w:rsid w:val="00AD691F"/>
    <w:rsid w:val="00AD7494"/>
    <w:rsid w:val="00AE090A"/>
    <w:rsid w:val="00AE4B9B"/>
    <w:rsid w:val="00AE6EEF"/>
    <w:rsid w:val="00AE6FC2"/>
    <w:rsid w:val="00AE714E"/>
    <w:rsid w:val="00AF1099"/>
    <w:rsid w:val="00AF312F"/>
    <w:rsid w:val="00AF45DC"/>
    <w:rsid w:val="00AF5A0A"/>
    <w:rsid w:val="00AF65EC"/>
    <w:rsid w:val="00AF6FD3"/>
    <w:rsid w:val="00B04BAC"/>
    <w:rsid w:val="00B04DEF"/>
    <w:rsid w:val="00B0767B"/>
    <w:rsid w:val="00B079E0"/>
    <w:rsid w:val="00B107E3"/>
    <w:rsid w:val="00B13BA7"/>
    <w:rsid w:val="00B1435F"/>
    <w:rsid w:val="00B15DCC"/>
    <w:rsid w:val="00B16362"/>
    <w:rsid w:val="00B16578"/>
    <w:rsid w:val="00B1749B"/>
    <w:rsid w:val="00B22DC9"/>
    <w:rsid w:val="00B242BF"/>
    <w:rsid w:val="00B24930"/>
    <w:rsid w:val="00B25E12"/>
    <w:rsid w:val="00B35F88"/>
    <w:rsid w:val="00B360C7"/>
    <w:rsid w:val="00B37278"/>
    <w:rsid w:val="00B4010B"/>
    <w:rsid w:val="00B4053A"/>
    <w:rsid w:val="00B40874"/>
    <w:rsid w:val="00B40EF3"/>
    <w:rsid w:val="00B41FBE"/>
    <w:rsid w:val="00B427C3"/>
    <w:rsid w:val="00B45D64"/>
    <w:rsid w:val="00B46EC9"/>
    <w:rsid w:val="00B51B58"/>
    <w:rsid w:val="00B522B0"/>
    <w:rsid w:val="00B531C7"/>
    <w:rsid w:val="00B5418B"/>
    <w:rsid w:val="00B545BB"/>
    <w:rsid w:val="00B5568F"/>
    <w:rsid w:val="00B55966"/>
    <w:rsid w:val="00B57E64"/>
    <w:rsid w:val="00B627FA"/>
    <w:rsid w:val="00B634BF"/>
    <w:rsid w:val="00B66729"/>
    <w:rsid w:val="00B67582"/>
    <w:rsid w:val="00B70D86"/>
    <w:rsid w:val="00B732A8"/>
    <w:rsid w:val="00B74AF4"/>
    <w:rsid w:val="00B75B19"/>
    <w:rsid w:val="00B77D0F"/>
    <w:rsid w:val="00B80A47"/>
    <w:rsid w:val="00B80B02"/>
    <w:rsid w:val="00B8120D"/>
    <w:rsid w:val="00B81507"/>
    <w:rsid w:val="00B8293D"/>
    <w:rsid w:val="00B83BE9"/>
    <w:rsid w:val="00B84189"/>
    <w:rsid w:val="00B841F2"/>
    <w:rsid w:val="00B85AE5"/>
    <w:rsid w:val="00B87728"/>
    <w:rsid w:val="00B9015D"/>
    <w:rsid w:val="00B907DF"/>
    <w:rsid w:val="00B9494C"/>
    <w:rsid w:val="00B94FF4"/>
    <w:rsid w:val="00BA0635"/>
    <w:rsid w:val="00BA06ED"/>
    <w:rsid w:val="00BA19D3"/>
    <w:rsid w:val="00BA1A05"/>
    <w:rsid w:val="00BA2253"/>
    <w:rsid w:val="00BA2C55"/>
    <w:rsid w:val="00BA40D3"/>
    <w:rsid w:val="00BA5AE4"/>
    <w:rsid w:val="00BB098A"/>
    <w:rsid w:val="00BB3B23"/>
    <w:rsid w:val="00BB4C34"/>
    <w:rsid w:val="00BB4F7B"/>
    <w:rsid w:val="00BB6041"/>
    <w:rsid w:val="00BB63C9"/>
    <w:rsid w:val="00BC183D"/>
    <w:rsid w:val="00BC30B8"/>
    <w:rsid w:val="00BC4586"/>
    <w:rsid w:val="00BC7A1E"/>
    <w:rsid w:val="00BC7CB3"/>
    <w:rsid w:val="00BD1E34"/>
    <w:rsid w:val="00BD3AA6"/>
    <w:rsid w:val="00BD6694"/>
    <w:rsid w:val="00BD6D9F"/>
    <w:rsid w:val="00BD720D"/>
    <w:rsid w:val="00BD7A28"/>
    <w:rsid w:val="00BE3797"/>
    <w:rsid w:val="00BE46B0"/>
    <w:rsid w:val="00BE5871"/>
    <w:rsid w:val="00BE6D2B"/>
    <w:rsid w:val="00BF0733"/>
    <w:rsid w:val="00BF1AAC"/>
    <w:rsid w:val="00BF29EC"/>
    <w:rsid w:val="00BF36FB"/>
    <w:rsid w:val="00BF7F3A"/>
    <w:rsid w:val="00C00238"/>
    <w:rsid w:val="00C0159A"/>
    <w:rsid w:val="00C019B5"/>
    <w:rsid w:val="00C02998"/>
    <w:rsid w:val="00C03ABC"/>
    <w:rsid w:val="00C0700E"/>
    <w:rsid w:val="00C11C4E"/>
    <w:rsid w:val="00C12A59"/>
    <w:rsid w:val="00C1325C"/>
    <w:rsid w:val="00C1470B"/>
    <w:rsid w:val="00C14828"/>
    <w:rsid w:val="00C155D7"/>
    <w:rsid w:val="00C160F8"/>
    <w:rsid w:val="00C163F7"/>
    <w:rsid w:val="00C16B22"/>
    <w:rsid w:val="00C219F3"/>
    <w:rsid w:val="00C21AF3"/>
    <w:rsid w:val="00C22128"/>
    <w:rsid w:val="00C22863"/>
    <w:rsid w:val="00C253B8"/>
    <w:rsid w:val="00C25B82"/>
    <w:rsid w:val="00C2643B"/>
    <w:rsid w:val="00C26C01"/>
    <w:rsid w:val="00C27370"/>
    <w:rsid w:val="00C27614"/>
    <w:rsid w:val="00C30828"/>
    <w:rsid w:val="00C31114"/>
    <w:rsid w:val="00C327B3"/>
    <w:rsid w:val="00C352E6"/>
    <w:rsid w:val="00C40EF7"/>
    <w:rsid w:val="00C414E1"/>
    <w:rsid w:val="00C42ABE"/>
    <w:rsid w:val="00C4395B"/>
    <w:rsid w:val="00C447DE"/>
    <w:rsid w:val="00C46286"/>
    <w:rsid w:val="00C47751"/>
    <w:rsid w:val="00C53B7F"/>
    <w:rsid w:val="00C54C7E"/>
    <w:rsid w:val="00C55CCD"/>
    <w:rsid w:val="00C57163"/>
    <w:rsid w:val="00C61813"/>
    <w:rsid w:val="00C6404A"/>
    <w:rsid w:val="00C65519"/>
    <w:rsid w:val="00C662C6"/>
    <w:rsid w:val="00C7094A"/>
    <w:rsid w:val="00C70CDF"/>
    <w:rsid w:val="00C722EA"/>
    <w:rsid w:val="00C75AB6"/>
    <w:rsid w:val="00C80D9C"/>
    <w:rsid w:val="00C816DB"/>
    <w:rsid w:val="00C874A0"/>
    <w:rsid w:val="00C9111B"/>
    <w:rsid w:val="00C919AD"/>
    <w:rsid w:val="00C938A3"/>
    <w:rsid w:val="00C93BD3"/>
    <w:rsid w:val="00CA0639"/>
    <w:rsid w:val="00CA0B17"/>
    <w:rsid w:val="00CA0F5F"/>
    <w:rsid w:val="00CA1EAB"/>
    <w:rsid w:val="00CA20D1"/>
    <w:rsid w:val="00CA6DAD"/>
    <w:rsid w:val="00CA7237"/>
    <w:rsid w:val="00CB6CF4"/>
    <w:rsid w:val="00CB7700"/>
    <w:rsid w:val="00CB77CE"/>
    <w:rsid w:val="00CC02BA"/>
    <w:rsid w:val="00CC1294"/>
    <w:rsid w:val="00CC2AB9"/>
    <w:rsid w:val="00CC3EF3"/>
    <w:rsid w:val="00CC3EF6"/>
    <w:rsid w:val="00CC5C98"/>
    <w:rsid w:val="00CC6040"/>
    <w:rsid w:val="00CC7CBD"/>
    <w:rsid w:val="00CD1285"/>
    <w:rsid w:val="00CD21F7"/>
    <w:rsid w:val="00CD2E2E"/>
    <w:rsid w:val="00CD5696"/>
    <w:rsid w:val="00CD5FA1"/>
    <w:rsid w:val="00CE0503"/>
    <w:rsid w:val="00CE4CE9"/>
    <w:rsid w:val="00CE61DE"/>
    <w:rsid w:val="00CE70B0"/>
    <w:rsid w:val="00CF17AF"/>
    <w:rsid w:val="00CF3E97"/>
    <w:rsid w:val="00CF513B"/>
    <w:rsid w:val="00CF5594"/>
    <w:rsid w:val="00CF6F67"/>
    <w:rsid w:val="00CF7939"/>
    <w:rsid w:val="00D03F99"/>
    <w:rsid w:val="00D05819"/>
    <w:rsid w:val="00D067E4"/>
    <w:rsid w:val="00D11271"/>
    <w:rsid w:val="00D11E3A"/>
    <w:rsid w:val="00D136B0"/>
    <w:rsid w:val="00D17B4F"/>
    <w:rsid w:val="00D17CBC"/>
    <w:rsid w:val="00D2136C"/>
    <w:rsid w:val="00D21EB1"/>
    <w:rsid w:val="00D2309B"/>
    <w:rsid w:val="00D2360A"/>
    <w:rsid w:val="00D244CF"/>
    <w:rsid w:val="00D305FB"/>
    <w:rsid w:val="00D30A4F"/>
    <w:rsid w:val="00D316F7"/>
    <w:rsid w:val="00D31BF7"/>
    <w:rsid w:val="00D31D7A"/>
    <w:rsid w:val="00D3288C"/>
    <w:rsid w:val="00D35F8A"/>
    <w:rsid w:val="00D3606C"/>
    <w:rsid w:val="00D36838"/>
    <w:rsid w:val="00D44FAD"/>
    <w:rsid w:val="00D46BBE"/>
    <w:rsid w:val="00D517E8"/>
    <w:rsid w:val="00D5202A"/>
    <w:rsid w:val="00D556D8"/>
    <w:rsid w:val="00D57B8B"/>
    <w:rsid w:val="00D57FB4"/>
    <w:rsid w:val="00D604F2"/>
    <w:rsid w:val="00D61444"/>
    <w:rsid w:val="00D63924"/>
    <w:rsid w:val="00D64C38"/>
    <w:rsid w:val="00D655CB"/>
    <w:rsid w:val="00D7570A"/>
    <w:rsid w:val="00D80229"/>
    <w:rsid w:val="00D81349"/>
    <w:rsid w:val="00D84FA2"/>
    <w:rsid w:val="00D87694"/>
    <w:rsid w:val="00D91C4F"/>
    <w:rsid w:val="00D92D28"/>
    <w:rsid w:val="00D94098"/>
    <w:rsid w:val="00D965E0"/>
    <w:rsid w:val="00D9792D"/>
    <w:rsid w:val="00DA4428"/>
    <w:rsid w:val="00DA51DC"/>
    <w:rsid w:val="00DA63BD"/>
    <w:rsid w:val="00DA6BEA"/>
    <w:rsid w:val="00DA7451"/>
    <w:rsid w:val="00DB0CD4"/>
    <w:rsid w:val="00DB27BA"/>
    <w:rsid w:val="00DB5047"/>
    <w:rsid w:val="00DB54F9"/>
    <w:rsid w:val="00DB5A48"/>
    <w:rsid w:val="00DB5D73"/>
    <w:rsid w:val="00DB6C26"/>
    <w:rsid w:val="00DB6D43"/>
    <w:rsid w:val="00DC0D88"/>
    <w:rsid w:val="00DC21A7"/>
    <w:rsid w:val="00DC7397"/>
    <w:rsid w:val="00DD01D6"/>
    <w:rsid w:val="00DD240B"/>
    <w:rsid w:val="00DD26DD"/>
    <w:rsid w:val="00DE01CA"/>
    <w:rsid w:val="00DE15E8"/>
    <w:rsid w:val="00DE167D"/>
    <w:rsid w:val="00DE168C"/>
    <w:rsid w:val="00DE2748"/>
    <w:rsid w:val="00DE2BF2"/>
    <w:rsid w:val="00DE3CF5"/>
    <w:rsid w:val="00DE715E"/>
    <w:rsid w:val="00DE7F42"/>
    <w:rsid w:val="00DF228E"/>
    <w:rsid w:val="00DF6F2F"/>
    <w:rsid w:val="00E01C50"/>
    <w:rsid w:val="00E058AD"/>
    <w:rsid w:val="00E0604D"/>
    <w:rsid w:val="00E115A5"/>
    <w:rsid w:val="00E11E94"/>
    <w:rsid w:val="00E1390A"/>
    <w:rsid w:val="00E14B1E"/>
    <w:rsid w:val="00E14C75"/>
    <w:rsid w:val="00E17CB5"/>
    <w:rsid w:val="00E20338"/>
    <w:rsid w:val="00E236FD"/>
    <w:rsid w:val="00E24FFA"/>
    <w:rsid w:val="00E25692"/>
    <w:rsid w:val="00E25D0A"/>
    <w:rsid w:val="00E263F5"/>
    <w:rsid w:val="00E308EA"/>
    <w:rsid w:val="00E318FE"/>
    <w:rsid w:val="00E3253A"/>
    <w:rsid w:val="00E361C6"/>
    <w:rsid w:val="00E36421"/>
    <w:rsid w:val="00E40486"/>
    <w:rsid w:val="00E40A76"/>
    <w:rsid w:val="00E41097"/>
    <w:rsid w:val="00E41CFD"/>
    <w:rsid w:val="00E41FB2"/>
    <w:rsid w:val="00E4216C"/>
    <w:rsid w:val="00E43A00"/>
    <w:rsid w:val="00E44E36"/>
    <w:rsid w:val="00E4734D"/>
    <w:rsid w:val="00E47D5B"/>
    <w:rsid w:val="00E50AAD"/>
    <w:rsid w:val="00E5371D"/>
    <w:rsid w:val="00E53AD3"/>
    <w:rsid w:val="00E53E0E"/>
    <w:rsid w:val="00E54863"/>
    <w:rsid w:val="00E607FA"/>
    <w:rsid w:val="00E60B7A"/>
    <w:rsid w:val="00E626D3"/>
    <w:rsid w:val="00E645B1"/>
    <w:rsid w:val="00E64B36"/>
    <w:rsid w:val="00E65288"/>
    <w:rsid w:val="00E65F7A"/>
    <w:rsid w:val="00E676CD"/>
    <w:rsid w:val="00E67E24"/>
    <w:rsid w:val="00E718D2"/>
    <w:rsid w:val="00E71BAE"/>
    <w:rsid w:val="00E74F9F"/>
    <w:rsid w:val="00E76696"/>
    <w:rsid w:val="00E77386"/>
    <w:rsid w:val="00E82230"/>
    <w:rsid w:val="00E82A38"/>
    <w:rsid w:val="00E83DF6"/>
    <w:rsid w:val="00E84B71"/>
    <w:rsid w:val="00E86CD5"/>
    <w:rsid w:val="00E91508"/>
    <w:rsid w:val="00E91A3E"/>
    <w:rsid w:val="00E92884"/>
    <w:rsid w:val="00E9298E"/>
    <w:rsid w:val="00E92BF6"/>
    <w:rsid w:val="00E9302C"/>
    <w:rsid w:val="00EA1847"/>
    <w:rsid w:val="00EA2FC9"/>
    <w:rsid w:val="00EA628B"/>
    <w:rsid w:val="00EA640F"/>
    <w:rsid w:val="00EB0301"/>
    <w:rsid w:val="00EB13D4"/>
    <w:rsid w:val="00EB1715"/>
    <w:rsid w:val="00EB3E74"/>
    <w:rsid w:val="00EB6915"/>
    <w:rsid w:val="00EB7EAA"/>
    <w:rsid w:val="00EC01F5"/>
    <w:rsid w:val="00EC11F0"/>
    <w:rsid w:val="00EC245C"/>
    <w:rsid w:val="00EC48B2"/>
    <w:rsid w:val="00EC6BDA"/>
    <w:rsid w:val="00ED0057"/>
    <w:rsid w:val="00ED047E"/>
    <w:rsid w:val="00ED2227"/>
    <w:rsid w:val="00ED4663"/>
    <w:rsid w:val="00ED51EF"/>
    <w:rsid w:val="00ED7A60"/>
    <w:rsid w:val="00EE1D44"/>
    <w:rsid w:val="00EE53AE"/>
    <w:rsid w:val="00EE6B79"/>
    <w:rsid w:val="00EE7EA0"/>
    <w:rsid w:val="00EF1EF0"/>
    <w:rsid w:val="00EF39A2"/>
    <w:rsid w:val="00EF3A37"/>
    <w:rsid w:val="00EF3D26"/>
    <w:rsid w:val="00EF4335"/>
    <w:rsid w:val="00EF69D5"/>
    <w:rsid w:val="00F01B7C"/>
    <w:rsid w:val="00F03E3D"/>
    <w:rsid w:val="00F0738D"/>
    <w:rsid w:val="00F07D4E"/>
    <w:rsid w:val="00F07ED2"/>
    <w:rsid w:val="00F13800"/>
    <w:rsid w:val="00F13A6E"/>
    <w:rsid w:val="00F20DBE"/>
    <w:rsid w:val="00F224BD"/>
    <w:rsid w:val="00F235FB"/>
    <w:rsid w:val="00F247D1"/>
    <w:rsid w:val="00F24E68"/>
    <w:rsid w:val="00F25150"/>
    <w:rsid w:val="00F32825"/>
    <w:rsid w:val="00F342A8"/>
    <w:rsid w:val="00F3530F"/>
    <w:rsid w:val="00F3594C"/>
    <w:rsid w:val="00F378EA"/>
    <w:rsid w:val="00F435E7"/>
    <w:rsid w:val="00F43F05"/>
    <w:rsid w:val="00F44DD0"/>
    <w:rsid w:val="00F44F8B"/>
    <w:rsid w:val="00F469D5"/>
    <w:rsid w:val="00F475A5"/>
    <w:rsid w:val="00F509C8"/>
    <w:rsid w:val="00F50EF3"/>
    <w:rsid w:val="00F52E84"/>
    <w:rsid w:val="00F52F5C"/>
    <w:rsid w:val="00F5653A"/>
    <w:rsid w:val="00F57DE8"/>
    <w:rsid w:val="00F600D9"/>
    <w:rsid w:val="00F6260C"/>
    <w:rsid w:val="00F637C7"/>
    <w:rsid w:val="00F64780"/>
    <w:rsid w:val="00F678F1"/>
    <w:rsid w:val="00F70043"/>
    <w:rsid w:val="00F71285"/>
    <w:rsid w:val="00F71448"/>
    <w:rsid w:val="00F7328D"/>
    <w:rsid w:val="00F73CFA"/>
    <w:rsid w:val="00F754F9"/>
    <w:rsid w:val="00F77D4E"/>
    <w:rsid w:val="00F80D66"/>
    <w:rsid w:val="00F82017"/>
    <w:rsid w:val="00F8704C"/>
    <w:rsid w:val="00F87620"/>
    <w:rsid w:val="00F87A4B"/>
    <w:rsid w:val="00F929E9"/>
    <w:rsid w:val="00F92D93"/>
    <w:rsid w:val="00F97EB5"/>
    <w:rsid w:val="00FA24D4"/>
    <w:rsid w:val="00FA2747"/>
    <w:rsid w:val="00FA4C52"/>
    <w:rsid w:val="00FA56C7"/>
    <w:rsid w:val="00FA5718"/>
    <w:rsid w:val="00FA6824"/>
    <w:rsid w:val="00FA7431"/>
    <w:rsid w:val="00FB1494"/>
    <w:rsid w:val="00FB335A"/>
    <w:rsid w:val="00FB40E7"/>
    <w:rsid w:val="00FB4C6E"/>
    <w:rsid w:val="00FB4D5B"/>
    <w:rsid w:val="00FB647B"/>
    <w:rsid w:val="00FC043A"/>
    <w:rsid w:val="00FC116E"/>
    <w:rsid w:val="00FC2B97"/>
    <w:rsid w:val="00FC4439"/>
    <w:rsid w:val="00FC51B3"/>
    <w:rsid w:val="00FC592F"/>
    <w:rsid w:val="00FC69E9"/>
    <w:rsid w:val="00FD075A"/>
    <w:rsid w:val="00FD099B"/>
    <w:rsid w:val="00FD1B26"/>
    <w:rsid w:val="00FD1DFA"/>
    <w:rsid w:val="00FD4827"/>
    <w:rsid w:val="00FD4C76"/>
    <w:rsid w:val="00FD5C3D"/>
    <w:rsid w:val="00FD6E6D"/>
    <w:rsid w:val="00FD7BB9"/>
    <w:rsid w:val="00FE69B7"/>
    <w:rsid w:val="00FF2C54"/>
    <w:rsid w:val="00FF4D10"/>
    <w:rsid w:val="00FF64C2"/>
    <w:rsid w:val="42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nhideWhenUsed="0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link w:val="29"/>
    <w:qFormat/>
    <w:uiPriority w:val="0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5">
    <w:name w:val="heading 4"/>
    <w:basedOn w:val="1"/>
    <w:next w:val="1"/>
    <w:link w:val="30"/>
    <w:semiHidden/>
    <w:unhideWhenUsed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uiPriority w:val="99"/>
    <w:rPr>
      <w:vertAlign w:val="superscript"/>
    </w:rPr>
  </w:style>
  <w:style w:type="character" w:styleId="9">
    <w:name w:val="annotation reference"/>
    <w:uiPriority w:val="99"/>
    <w:rPr>
      <w:sz w:val="16"/>
      <w:szCs w:val="16"/>
    </w:rPr>
  </w:style>
  <w:style w:type="character" w:styleId="10">
    <w:name w:val="Hyperlink"/>
    <w:uiPriority w:val="99"/>
    <w:rPr>
      <w:color w:val="0000FF"/>
      <w:u w:val="single"/>
    </w:rPr>
  </w:style>
  <w:style w:type="character" w:styleId="11">
    <w:name w:val="page number"/>
    <w:basedOn w:val="6"/>
    <w:uiPriority w:val="0"/>
  </w:style>
  <w:style w:type="character" w:styleId="12">
    <w:name w:val="Strong"/>
    <w:basedOn w:val="6"/>
    <w:qFormat/>
    <w:uiPriority w:val="0"/>
    <w:rPr>
      <w:rFonts w:hint="default" w:ascii="Verdana" w:hAnsi="Verdana"/>
      <w:b/>
      <w:bCs/>
    </w:rPr>
  </w:style>
  <w:style w:type="paragraph" w:styleId="13">
    <w:name w:val="Balloon Text"/>
    <w:basedOn w:val="1"/>
    <w:link w:val="46"/>
    <w:semiHidden/>
    <w:uiPriority w:val="99"/>
    <w:rPr>
      <w:rFonts w:ascii="Tahoma" w:hAnsi="Tahoma" w:cs="Tahoma"/>
      <w:sz w:val="16"/>
      <w:szCs w:val="16"/>
    </w:rPr>
  </w:style>
  <w:style w:type="paragraph" w:styleId="14">
    <w:name w:val="Plain Text"/>
    <w:basedOn w:val="1"/>
    <w:link w:val="49"/>
    <w:uiPriority w:val="0"/>
    <w:rPr>
      <w:rFonts w:ascii="Courier New" w:hAnsi="Courier New" w:cs="Courier New"/>
    </w:rPr>
  </w:style>
  <w:style w:type="paragraph" w:styleId="15">
    <w:name w:val="caption"/>
    <w:basedOn w:val="1"/>
    <w:next w:val="1"/>
    <w:unhideWhenUsed/>
    <w:qFormat/>
    <w:uiPriority w:val="35"/>
    <w:rPr>
      <w:b/>
      <w:bCs/>
    </w:rPr>
  </w:style>
  <w:style w:type="paragraph" w:styleId="16">
    <w:name w:val="footnote text"/>
    <w:basedOn w:val="1"/>
    <w:link w:val="67"/>
    <w:uiPriority w:val="99"/>
  </w:style>
  <w:style w:type="paragraph" w:styleId="17">
    <w:name w:val="header"/>
    <w:basedOn w:val="1"/>
    <w:link w:val="45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18">
    <w:name w:val="Body Text"/>
    <w:basedOn w:val="1"/>
    <w:link w:val="50"/>
    <w:uiPriority w:val="0"/>
    <w:pPr>
      <w:spacing w:after="120"/>
    </w:pPr>
  </w:style>
  <w:style w:type="paragraph" w:styleId="19">
    <w:name w:val="Body Text Indent"/>
    <w:basedOn w:val="1"/>
    <w:link w:val="41"/>
    <w:uiPriority w:val="0"/>
    <w:pPr>
      <w:spacing w:after="120"/>
      <w:ind w:left="283"/>
    </w:pPr>
    <w:rPr>
      <w:color w:val="434343"/>
      <w:sz w:val="28"/>
      <w:szCs w:val="28"/>
    </w:rPr>
  </w:style>
  <w:style w:type="paragraph" w:styleId="20">
    <w:name w:val="Title"/>
    <w:basedOn w:val="1"/>
    <w:link w:val="43"/>
    <w:qFormat/>
    <w:uiPriority w:val="0"/>
    <w:pPr>
      <w:jc w:val="center"/>
    </w:pPr>
    <w:rPr>
      <w:b/>
      <w:bCs/>
      <w:sz w:val="24"/>
      <w:szCs w:val="24"/>
    </w:rPr>
  </w:style>
  <w:style w:type="paragraph" w:styleId="21">
    <w:name w:val="footer"/>
    <w:basedOn w:val="1"/>
    <w:link w:val="38"/>
    <w:uiPriority w:val="99"/>
    <w:pPr>
      <w:tabs>
        <w:tab w:val="center" w:pos="4677"/>
        <w:tab w:val="right" w:pos="9355"/>
      </w:tabs>
    </w:pPr>
  </w:style>
  <w:style w:type="paragraph" w:styleId="22">
    <w:name w:val="Normal (Web)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1"/>
    <w:link w:val="47"/>
    <w:uiPriority w:val="0"/>
    <w:pPr>
      <w:spacing w:after="120" w:line="480" w:lineRule="auto"/>
      <w:ind w:left="283"/>
    </w:pPr>
  </w:style>
  <w:style w:type="paragraph" w:styleId="24">
    <w:name w:val="Subtitle"/>
    <w:basedOn w:val="1"/>
    <w:next w:val="1"/>
    <w:link w:val="66"/>
    <w:qFormat/>
    <w:uiPriority w:val="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25">
    <w:name w:val="HTML Preformatted"/>
    <w:basedOn w:val="1"/>
    <w:link w:val="64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26">
    <w:name w:val="Table Grid"/>
    <w:basedOn w:val="7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1 Знак"/>
    <w:basedOn w:val="6"/>
    <w:link w:val="2"/>
    <w:qFormat/>
    <w:uiPriority w:val="99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8">
    <w:name w:val="Заголовок 2 Знак"/>
    <w:basedOn w:val="6"/>
    <w:link w:val="3"/>
    <w:qFormat/>
    <w:uiPriority w:val="9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9">
    <w:name w:val="Заголовок 3 Знак"/>
    <w:basedOn w:val="6"/>
    <w:link w:val="4"/>
    <w:uiPriority w:val="0"/>
    <w:rPr>
      <w:rFonts w:ascii="Verdana" w:hAnsi="Verdana" w:eastAsia="Times New Roman" w:cs="Times New Roman"/>
      <w:b/>
      <w:bCs/>
      <w:color w:val="983F0C"/>
      <w:sz w:val="18"/>
      <w:szCs w:val="18"/>
      <w:lang w:eastAsia="ru-RU"/>
    </w:rPr>
  </w:style>
  <w:style w:type="character" w:customStyle="1" w:styleId="30">
    <w:name w:val="Заголовок 4 Знак"/>
    <w:basedOn w:val="6"/>
    <w:link w:val="5"/>
    <w:qFormat/>
    <w:uiPriority w:val="0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customStyle="1" w:styleId="31">
    <w:name w:val="1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Акты"/>
    <w:basedOn w:val="1"/>
    <w:link w:val="34"/>
    <w:qFormat/>
    <w:uiPriority w:val="0"/>
    <w:pPr>
      <w:ind w:firstLine="709"/>
      <w:jc w:val="both"/>
    </w:pPr>
    <w:rPr>
      <w:sz w:val="28"/>
      <w:szCs w:val="28"/>
    </w:rPr>
  </w:style>
  <w:style w:type="character" w:customStyle="1" w:styleId="34">
    <w:name w:val="Акты Знак"/>
    <w:link w:val="33"/>
    <w:qFormat/>
    <w:locked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35">
    <w:name w:val="Акты 6 пт"/>
    <w:basedOn w:val="33"/>
    <w:uiPriority w:val="0"/>
    <w:pPr>
      <w:spacing w:before="120"/>
    </w:pPr>
  </w:style>
  <w:style w:type="paragraph" w:customStyle="1" w:styleId="36">
    <w:name w:val="ConsPlusNormal"/>
    <w:link w:val="52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37">
    <w:name w:val="List Paragraph"/>
    <w:basedOn w:val="1"/>
    <w:link w:val="80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8">
    <w:name w:val="Нижний колонтитул Знак"/>
    <w:basedOn w:val="6"/>
    <w:link w:val="21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9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40">
    <w:name w:val="Char Char Знак Знак Знак"/>
    <w:basedOn w:val="1"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41">
    <w:name w:val="Основной текст с отступом Знак"/>
    <w:basedOn w:val="6"/>
    <w:link w:val="19"/>
    <w:uiPriority w:val="0"/>
    <w:rPr>
      <w:rFonts w:ascii="Times New Roman" w:hAnsi="Times New Roman" w:eastAsia="Times New Roman" w:cs="Times New Roman"/>
      <w:color w:val="434343"/>
      <w:sz w:val="28"/>
      <w:szCs w:val="28"/>
      <w:lang w:eastAsia="ru-RU"/>
    </w:rPr>
  </w:style>
  <w:style w:type="paragraph" w:customStyle="1" w:styleId="42">
    <w:name w:val="cb"/>
    <w:basedOn w:val="1"/>
    <w:uiPriority w:val="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43">
    <w:name w:val="Название Знак"/>
    <w:basedOn w:val="6"/>
    <w:link w:val="20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4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45">
    <w:name w:val="Верхний колонтитул Знак"/>
    <w:basedOn w:val="6"/>
    <w:link w:val="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6">
    <w:name w:val="Текст выноски Знак"/>
    <w:basedOn w:val="6"/>
    <w:link w:val="13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47">
    <w:name w:val="Основной текст с отступом 2 Знак"/>
    <w:basedOn w:val="6"/>
    <w:link w:val="23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9">
    <w:name w:val="Текст Знак"/>
    <w:basedOn w:val="6"/>
    <w:link w:val="14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50">
    <w:name w:val="Основной текст Знак"/>
    <w:basedOn w:val="6"/>
    <w:link w:val="18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1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52">
    <w:name w:val="ConsPlusNormal Знак"/>
    <w:link w:val="36"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53">
    <w:name w:val="Style5"/>
    <w:basedOn w:val="1"/>
    <w:uiPriority w:val="99"/>
    <w:pPr>
      <w:widowControl w:val="0"/>
      <w:autoSpaceDE w:val="0"/>
      <w:autoSpaceDN w:val="0"/>
      <w:adjustRightInd w:val="0"/>
      <w:spacing w:line="324" w:lineRule="exact"/>
      <w:ind w:firstLine="986"/>
      <w:jc w:val="both"/>
    </w:pPr>
    <w:rPr>
      <w:sz w:val="24"/>
      <w:szCs w:val="24"/>
    </w:rPr>
  </w:style>
  <w:style w:type="character" w:customStyle="1" w:styleId="54">
    <w:name w:val="Font Style14"/>
    <w:basedOn w:val="6"/>
    <w:uiPriority w:val="99"/>
    <w:rPr>
      <w:rFonts w:ascii="Times New Roman" w:hAnsi="Times New Roman" w:cs="Times New Roman"/>
      <w:sz w:val="26"/>
      <w:szCs w:val="26"/>
    </w:rPr>
  </w:style>
  <w:style w:type="paragraph" w:customStyle="1" w:styleId="55">
    <w:name w:val="Style14"/>
    <w:basedOn w:val="1"/>
    <w:uiPriority w:val="99"/>
    <w:pPr>
      <w:widowControl w:val="0"/>
      <w:autoSpaceDE w:val="0"/>
      <w:autoSpaceDN w:val="0"/>
      <w:adjustRightInd w:val="0"/>
      <w:spacing w:line="324" w:lineRule="exact"/>
      <w:ind w:firstLine="1166"/>
    </w:pPr>
    <w:rPr>
      <w:sz w:val="24"/>
      <w:szCs w:val="24"/>
    </w:rPr>
  </w:style>
  <w:style w:type="character" w:customStyle="1" w:styleId="56">
    <w:name w:val="Font Style33"/>
    <w:basedOn w:val="6"/>
    <w:uiPriority w:val="99"/>
    <w:rPr>
      <w:rFonts w:ascii="Times New Roman" w:hAnsi="Times New Roman" w:cs="Times New Roman"/>
      <w:sz w:val="26"/>
      <w:szCs w:val="26"/>
    </w:rPr>
  </w:style>
  <w:style w:type="paragraph" w:customStyle="1" w:styleId="57">
    <w:name w:val="ConsPlusCell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en-US" w:bidi="ar-SA"/>
    </w:rPr>
  </w:style>
  <w:style w:type="paragraph" w:customStyle="1" w:styleId="58">
    <w:name w:val="Знак Знак Знак Знак"/>
    <w:basedOn w:val="1"/>
    <w:uiPriority w:val="0"/>
    <w:rPr>
      <w:rFonts w:ascii="Verdana" w:hAnsi="Verdana" w:cs="Verdana"/>
      <w:lang w:val="en-US" w:eastAsia="en-US"/>
    </w:rPr>
  </w:style>
  <w:style w:type="paragraph" w:customStyle="1" w:styleId="59">
    <w:name w:val="Нормальный"/>
    <w:link w:val="60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Нормальный Знак"/>
    <w:basedOn w:val="6"/>
    <w:link w:val="59"/>
    <w:uiPriority w:val="0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61">
    <w:name w:val="No Spacing"/>
    <w:link w:val="62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62">
    <w:name w:val="Без интервала Знак"/>
    <w:link w:val="61"/>
    <w:locked/>
    <w:uiPriority w:val="1"/>
    <w:rPr>
      <w:rFonts w:ascii="Calibri" w:hAnsi="Calibri" w:eastAsia="Times New Roman" w:cs="Times New Roman"/>
      <w:lang w:eastAsia="ru-RU"/>
    </w:rPr>
  </w:style>
  <w:style w:type="character" w:customStyle="1" w:styleId="63">
    <w:name w:val="apple-converted-space"/>
    <w:basedOn w:val="6"/>
    <w:uiPriority w:val="0"/>
  </w:style>
  <w:style w:type="character" w:customStyle="1" w:styleId="64">
    <w:name w:val="Стандартный HTML Знак"/>
    <w:basedOn w:val="6"/>
    <w:link w:val="2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65">
    <w:name w:val="bookmark"/>
    <w:basedOn w:val="6"/>
    <w:uiPriority w:val="0"/>
  </w:style>
  <w:style w:type="character" w:customStyle="1" w:styleId="66">
    <w:name w:val="Подзаголовок Знак"/>
    <w:basedOn w:val="6"/>
    <w:link w:val="24"/>
    <w:uiPriority w:val="0"/>
    <w:rPr>
      <w:rFonts w:ascii="Cambria" w:hAnsi="Cambria" w:eastAsia="Times New Roman" w:cs="Times New Roman"/>
      <w:sz w:val="24"/>
      <w:szCs w:val="24"/>
      <w:lang w:eastAsia="ru-RU"/>
    </w:rPr>
  </w:style>
  <w:style w:type="character" w:customStyle="1" w:styleId="67">
    <w:name w:val="Текст сноски Знак"/>
    <w:basedOn w:val="6"/>
    <w:link w:val="1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68">
    <w:name w:val="doc__text_viewtype_highlight"/>
    <w:basedOn w:val="6"/>
    <w:uiPriority w:val="0"/>
  </w:style>
  <w:style w:type="paragraph" w:customStyle="1" w:styleId="69">
    <w:name w:val="copyright-info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70">
    <w:name w:val="Мой Обычный"/>
    <w:basedOn w:val="1"/>
    <w:link w:val="71"/>
    <w:qFormat/>
    <w:uiPriority w:val="0"/>
    <w:rPr>
      <w:rFonts w:eastAsia="Calibri"/>
      <w:b/>
      <w:sz w:val="24"/>
      <w:szCs w:val="24"/>
      <w:u w:val="single"/>
      <w:lang w:eastAsia="en-US"/>
    </w:rPr>
  </w:style>
  <w:style w:type="character" w:customStyle="1" w:styleId="71">
    <w:name w:val="Мой Обычный Знак"/>
    <w:link w:val="70"/>
    <w:uiPriority w:val="0"/>
    <w:rPr>
      <w:rFonts w:ascii="Times New Roman" w:hAnsi="Times New Roman" w:eastAsia="Calibri" w:cs="Times New Roman"/>
      <w:b/>
      <w:sz w:val="24"/>
      <w:szCs w:val="24"/>
      <w:u w:val="single"/>
    </w:rPr>
  </w:style>
  <w:style w:type="character" w:customStyle="1" w:styleId="72">
    <w:name w:val="auto-matches"/>
    <w:basedOn w:val="6"/>
    <w:uiPriority w:val="0"/>
  </w:style>
  <w:style w:type="character" w:customStyle="1" w:styleId="73">
    <w:name w:val="spfo1"/>
    <w:basedOn w:val="6"/>
    <w:uiPriority w:val="0"/>
  </w:style>
  <w:style w:type="paragraph" w:customStyle="1" w:styleId="74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75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76">
    <w:name w:val="Char Char Знак Знак Знак1"/>
    <w:basedOn w:val="1"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77">
    <w:name w:val="Знак Знак Знак Знак1"/>
    <w:basedOn w:val="1"/>
    <w:uiPriority w:val="0"/>
    <w:rPr>
      <w:rFonts w:ascii="Verdana" w:hAnsi="Verdana" w:cs="Verdana"/>
      <w:lang w:val="en-US" w:eastAsia="en-US"/>
    </w:rPr>
  </w:style>
  <w:style w:type="paragraph" w:customStyle="1" w:styleId="78">
    <w:name w:val="Char Char Знак Знак Знак2"/>
    <w:basedOn w:val="1"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79">
    <w:name w:val="Знак Знак Знак Знак2"/>
    <w:basedOn w:val="1"/>
    <w:uiPriority w:val="0"/>
    <w:rPr>
      <w:rFonts w:ascii="Verdana" w:hAnsi="Verdana" w:cs="Verdana"/>
      <w:lang w:val="en-US" w:eastAsia="en-US"/>
    </w:rPr>
  </w:style>
  <w:style w:type="character" w:customStyle="1" w:styleId="80">
    <w:name w:val="Абзац списка Знак"/>
    <w:basedOn w:val="6"/>
    <w:link w:val="37"/>
    <w:locked/>
    <w:uiPriority w:val="34"/>
    <w:rPr>
      <w:rFonts w:ascii="Calibri" w:hAnsi="Calibri" w:eastAsia="Calibri" w:cs="Times New Roman"/>
    </w:rPr>
  </w:style>
  <w:style w:type="character" w:customStyle="1" w:styleId="81">
    <w:name w:val="js-doc-mark"/>
    <w:basedOn w:val="6"/>
    <w:uiPriority w:val="0"/>
  </w:style>
  <w:style w:type="character" w:customStyle="1" w:styleId="82">
    <w:name w:val="blk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69C4B-464B-4142-88ED-3DA07E1A2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5070</Words>
  <Characters>28901</Characters>
  <Lines>240</Lines>
  <Paragraphs>67</Paragraphs>
  <TotalTime>12802</TotalTime>
  <ScaleCrop>false</ScaleCrop>
  <LinksUpToDate>false</LinksUpToDate>
  <CharactersWithSpaces>33904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2020-11-18T09:00:00Z</dcterms:created>
  <dc:creator>Королькова АВ</dc:creator>
  <cp:lastModifiedBy>работник2</cp:lastModifiedBy>
  <cp:lastPrinted>2023-12-05T11:05:00Z</cp:lastPrinted>
  <dcterms:modified xsi:type="dcterms:W3CDTF">2023-12-25T06:41:55Z</dcterms:modified>
  <cp:revision>2215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0E06C6669F46427DA1DA8FDBB3DA363F_12</vt:lpwstr>
  </property>
</Properties>
</file>